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C128B">
      <w:pPr>
        <w:ind w:firstLine="0" w:firstLineChars="0"/>
        <w:jc w:val="center"/>
        <w:rPr>
          <w:rFonts w:ascii="黑体" w:hAnsi="黑体" w:eastAsia="黑体"/>
          <w:b/>
          <w:color w:val="auto"/>
          <w:sz w:val="36"/>
          <w:highlight w:val="none"/>
        </w:rPr>
      </w:pPr>
      <w:bookmarkStart w:id="0" w:name="_Toc4131"/>
      <w:bookmarkStart w:id="1" w:name="_Toc139120004"/>
      <w:bookmarkStart w:id="2" w:name="_Toc21748"/>
      <w:bookmarkStart w:id="3" w:name="_Toc85729989"/>
      <w:bookmarkStart w:id="4" w:name="_Toc124796749"/>
      <w:bookmarkStart w:id="5" w:name="_Toc126346916"/>
      <w:bookmarkStart w:id="6" w:name="_Toc119079429"/>
      <w:bookmarkStart w:id="7" w:name="_Toc126347617"/>
      <w:bookmarkStart w:id="8" w:name="_Toc99011501"/>
      <w:bookmarkStart w:id="9" w:name="_Toc11677"/>
      <w:bookmarkStart w:id="10" w:name="_Toc97893358"/>
      <w:bookmarkStart w:id="11" w:name="_Toc80541905"/>
      <w:bookmarkStart w:id="12" w:name="_Toc97892953"/>
      <w:bookmarkStart w:id="13" w:name="_Toc80542461"/>
      <w:bookmarkStart w:id="14" w:name="_Toc124761383"/>
      <w:bookmarkStart w:id="15" w:name="_Toc126346976"/>
      <w:bookmarkStart w:id="16" w:name="_Toc126347767"/>
      <w:bookmarkStart w:id="17" w:name="_Toc12697"/>
      <w:bookmarkStart w:id="18" w:name="_Toc79565720"/>
      <w:bookmarkStart w:id="19" w:name="_Toc79515664"/>
      <w:bookmarkStart w:id="20" w:name="_Toc119914456"/>
    </w:p>
    <w:p w14:paraId="0B104766">
      <w:pPr>
        <w:ind w:firstLine="0" w:firstLineChars="0"/>
        <w:jc w:val="center"/>
        <w:rPr>
          <w:rFonts w:ascii="黑体" w:hAnsi="黑体" w:eastAsia="黑体"/>
          <w:b/>
          <w:color w:val="auto"/>
          <w:sz w:val="36"/>
          <w:highlight w:val="none"/>
        </w:rPr>
      </w:pPr>
    </w:p>
    <w:p w14:paraId="0A8FD2EC">
      <w:pPr>
        <w:pStyle w:val="115"/>
        <w:rPr>
          <w:color w:val="auto"/>
          <w:sz w:val="52"/>
          <w:szCs w:val="52"/>
          <w:highlight w:val="none"/>
        </w:rPr>
      </w:pPr>
      <w:r>
        <w:rPr>
          <w:rFonts w:hint="eastAsia"/>
          <w:color w:val="auto"/>
          <w:sz w:val="52"/>
          <w:szCs w:val="52"/>
          <w:highlight w:val="none"/>
        </w:rPr>
        <w:t>楚雄彝族自治州国土空间总体规划</w:t>
      </w:r>
    </w:p>
    <w:p w14:paraId="4A9B6A6C">
      <w:pPr>
        <w:pStyle w:val="115"/>
        <w:rPr>
          <w:color w:val="auto"/>
          <w:sz w:val="52"/>
          <w:szCs w:val="52"/>
          <w:highlight w:val="none"/>
        </w:rPr>
      </w:pPr>
      <w:r>
        <w:rPr>
          <w:rFonts w:hint="eastAsia"/>
          <w:color w:val="auto"/>
          <w:sz w:val="52"/>
          <w:szCs w:val="52"/>
          <w:highlight w:val="none"/>
        </w:rPr>
        <w:t>（</w:t>
      </w:r>
      <w:r>
        <w:rPr>
          <w:rFonts w:hint="eastAsia" w:ascii="方正小标宋_GBK" w:hAnsi="Times New Roman"/>
          <w:color w:val="auto"/>
          <w:sz w:val="52"/>
          <w:szCs w:val="52"/>
          <w:highlight w:val="none"/>
        </w:rPr>
        <w:t>2021</w:t>
      </w:r>
      <w:r>
        <w:rPr>
          <w:rFonts w:hint="eastAsia" w:ascii="方正小标宋_GBK" w:hAnsi="Times New Roman"/>
          <w:color w:val="auto"/>
          <w:sz w:val="52"/>
          <w:szCs w:val="52"/>
          <w:highlight w:val="none"/>
          <w:lang w:eastAsia="zh-CN"/>
        </w:rPr>
        <w:t>—</w:t>
      </w:r>
      <w:r>
        <w:rPr>
          <w:rFonts w:hint="eastAsia" w:ascii="方正小标宋_GBK" w:hAnsi="Times New Roman"/>
          <w:color w:val="auto"/>
          <w:sz w:val="52"/>
          <w:szCs w:val="52"/>
          <w:highlight w:val="none"/>
        </w:rPr>
        <w:t>2035</w:t>
      </w:r>
      <w:r>
        <w:rPr>
          <w:rFonts w:hint="eastAsia"/>
          <w:color w:val="auto"/>
          <w:sz w:val="52"/>
          <w:szCs w:val="52"/>
          <w:highlight w:val="none"/>
        </w:rPr>
        <w:t>年）</w:t>
      </w:r>
      <w:bookmarkStart w:id="283" w:name="_GoBack"/>
      <w:bookmarkEnd w:id="283"/>
    </w:p>
    <w:p w14:paraId="474E7E09">
      <w:pPr>
        <w:pStyle w:val="115"/>
        <w:rPr>
          <w:color w:val="auto"/>
          <w:sz w:val="52"/>
          <w:szCs w:val="52"/>
          <w:highlight w:val="none"/>
        </w:rPr>
      </w:pPr>
      <w:r>
        <w:rPr>
          <w:rFonts w:hint="eastAsia"/>
          <w:color w:val="auto"/>
          <w:sz w:val="52"/>
          <w:szCs w:val="52"/>
          <w:highlight w:val="none"/>
        </w:rPr>
        <w:t>文本</w:t>
      </w:r>
    </w:p>
    <w:p w14:paraId="29460014">
      <w:pPr>
        <w:ind w:firstLine="0" w:firstLineChars="0"/>
        <w:jc w:val="center"/>
        <w:rPr>
          <w:b/>
          <w:color w:val="auto"/>
          <w:sz w:val="36"/>
          <w:highlight w:val="none"/>
        </w:rPr>
      </w:pPr>
    </w:p>
    <w:p w14:paraId="7D7DCCD0">
      <w:pPr>
        <w:ind w:firstLine="0" w:firstLineChars="0"/>
        <w:jc w:val="center"/>
        <w:rPr>
          <w:b/>
          <w:color w:val="auto"/>
          <w:sz w:val="36"/>
          <w:highlight w:val="none"/>
        </w:rPr>
      </w:pPr>
    </w:p>
    <w:p w14:paraId="5E2747B0">
      <w:pPr>
        <w:ind w:firstLine="0" w:firstLineChars="0"/>
        <w:jc w:val="center"/>
        <w:rPr>
          <w:b/>
          <w:color w:val="auto"/>
          <w:sz w:val="36"/>
          <w:highlight w:val="none"/>
        </w:rPr>
      </w:pPr>
    </w:p>
    <w:p w14:paraId="23F61C28">
      <w:pPr>
        <w:ind w:firstLine="0" w:firstLineChars="0"/>
        <w:jc w:val="center"/>
        <w:rPr>
          <w:b/>
          <w:color w:val="auto"/>
          <w:sz w:val="36"/>
          <w:highlight w:val="none"/>
        </w:rPr>
      </w:pPr>
    </w:p>
    <w:p w14:paraId="33A2EF9E">
      <w:pPr>
        <w:ind w:firstLine="0" w:firstLineChars="0"/>
        <w:jc w:val="center"/>
        <w:rPr>
          <w:b/>
          <w:color w:val="auto"/>
          <w:sz w:val="36"/>
          <w:highlight w:val="none"/>
        </w:rPr>
      </w:pPr>
    </w:p>
    <w:p w14:paraId="0CCF4603">
      <w:pPr>
        <w:ind w:firstLine="0" w:firstLineChars="0"/>
        <w:jc w:val="center"/>
        <w:rPr>
          <w:b/>
          <w:color w:val="auto"/>
          <w:sz w:val="36"/>
          <w:highlight w:val="none"/>
        </w:rPr>
      </w:pPr>
    </w:p>
    <w:p w14:paraId="06BD8AC1">
      <w:pPr>
        <w:ind w:firstLine="0" w:firstLineChars="0"/>
        <w:jc w:val="center"/>
        <w:rPr>
          <w:b/>
          <w:color w:val="auto"/>
          <w:sz w:val="36"/>
          <w:highlight w:val="none"/>
        </w:rPr>
      </w:pPr>
    </w:p>
    <w:p w14:paraId="3080C14A">
      <w:pPr>
        <w:ind w:firstLine="0" w:firstLineChars="0"/>
        <w:jc w:val="center"/>
        <w:rPr>
          <w:b/>
          <w:color w:val="auto"/>
          <w:sz w:val="36"/>
          <w:highlight w:val="none"/>
        </w:rPr>
      </w:pPr>
    </w:p>
    <w:p w14:paraId="5665A428">
      <w:pPr>
        <w:pStyle w:val="2"/>
        <w:rPr>
          <w:b/>
          <w:color w:val="auto"/>
          <w:sz w:val="36"/>
          <w:highlight w:val="none"/>
        </w:rPr>
      </w:pPr>
    </w:p>
    <w:p w14:paraId="3A128C54">
      <w:pPr>
        <w:pStyle w:val="3"/>
        <w:rPr>
          <w:b/>
          <w:color w:val="auto"/>
          <w:sz w:val="36"/>
          <w:highlight w:val="none"/>
        </w:rPr>
      </w:pPr>
    </w:p>
    <w:p w14:paraId="5684100B">
      <w:pPr>
        <w:ind w:firstLine="0" w:firstLineChars="0"/>
        <w:jc w:val="center"/>
        <w:rPr>
          <w:b/>
          <w:color w:val="auto"/>
          <w:sz w:val="36"/>
          <w:highlight w:val="none"/>
        </w:rPr>
      </w:pPr>
    </w:p>
    <w:p w14:paraId="23685FDF">
      <w:pPr>
        <w:pStyle w:val="2"/>
        <w:jc w:val="center"/>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楚雄彝族自治州人民政府</w:t>
      </w:r>
    </w:p>
    <w:p w14:paraId="4CC55DFE">
      <w:pPr>
        <w:pStyle w:val="3"/>
        <w:ind w:left="0" w:firstLine="0" w:firstLineChars="0"/>
        <w:jc w:val="center"/>
        <w:rPr>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二〇二五年一月</w:t>
      </w:r>
      <w:bookmarkEnd w:id="0"/>
      <w:bookmarkEnd w:id="1"/>
      <w:bookmarkEnd w:id="2"/>
    </w:p>
    <w:p w14:paraId="2CD31D82">
      <w:pPr>
        <w:pStyle w:val="2"/>
        <w:rPr>
          <w:color w:val="auto"/>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41" w:right="1644" w:bottom="1871" w:left="1644" w:header="851" w:footer="992" w:gutter="0"/>
          <w:pgNumType w:fmt="numberInDash" w:start="1"/>
          <w:cols w:space="0" w:num="1"/>
          <w:docGrid w:type="linesAndChars" w:linePitch="445" w:charSpace="2347"/>
        </w:sectPr>
      </w:pPr>
    </w:p>
    <w:p w14:paraId="3C4EFCD0">
      <w:pPr>
        <w:pStyle w:val="63"/>
        <w:rPr>
          <w:color w:val="auto"/>
          <w:highlight w:val="none"/>
        </w:rPr>
      </w:pPr>
      <w:bookmarkStart w:id="21" w:name="_Toc131434148"/>
      <w:bookmarkStart w:id="22" w:name="_Toc135238076"/>
      <w:bookmarkStart w:id="23" w:name="_Toc131432482"/>
      <w:bookmarkStart w:id="24" w:name="_Toc131433142"/>
      <w:bookmarkStart w:id="25" w:name="_Toc131433308"/>
      <w:bookmarkStart w:id="26" w:name="_Toc184639359"/>
      <w:r>
        <w:rPr>
          <w:rFonts w:hint="eastAsia"/>
          <w:color w:val="auto"/>
          <w:highlight w:val="none"/>
        </w:rPr>
        <w:t>前      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459154">
      <w:pPr>
        <w:pStyle w:val="29"/>
        <w:overflowPunct w:val="0"/>
        <w:adjustRightInd/>
        <w:snapToGrid/>
        <w:spacing w:beforeAutospacing="0" w:afterAutospacing="0" w:line="58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楚雄彝族自治州（以下简称楚雄州）地处滇中腹地，是全国30个民族自治州中的两个彝族自治州之一，拥有“世界恐龙之乡、东方人类故乡、世界野生菌王国、绿孔雀之乡”四张世界级名片。</w:t>
      </w:r>
    </w:p>
    <w:p w14:paraId="30E50E38">
      <w:pPr>
        <w:pStyle w:val="29"/>
        <w:overflowPunct w:val="0"/>
        <w:adjustRightInd/>
        <w:snapToGrid/>
        <w:spacing w:beforeAutospacing="0" w:afterAutospacing="0" w:line="58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建立国土空间规划体系并监督实施，将主体功能区规划、土地利用规划、城乡规划等空间规划融合为统一的国土空间规划，实现“多规合一”，强化国土空间规划对各专项规划的指导约束作用，是党中央、国务院作出的重大战略部署。党的二十大对优化国土空间</w:t>
      </w:r>
      <w:r>
        <w:rPr>
          <w:rFonts w:hint="eastAsia" w:eastAsia="方正仿宋_GBK"/>
          <w:color w:val="auto"/>
          <w:kern w:val="2"/>
          <w:sz w:val="30"/>
          <w:szCs w:val="30"/>
          <w:highlight w:val="none"/>
          <w:lang w:eastAsia="zh-CN"/>
        </w:rPr>
        <w:t>总体</w:t>
      </w:r>
      <w:r>
        <w:rPr>
          <w:rFonts w:eastAsia="方正仿宋_GBK"/>
          <w:color w:val="auto"/>
          <w:kern w:val="2"/>
          <w:sz w:val="30"/>
          <w:szCs w:val="30"/>
          <w:highlight w:val="none"/>
        </w:rPr>
        <w:t>格局和耕地保护、生态保护、城镇化建设等作出全面安排部署，为科学编制国土空间规划，推动形成主体功能约束有效、国土开发有序的空间发展格局提供了科学指引。楚雄州委、州政府坚持以习近平新时代中国特色社会主义思想为指导，严格落实《云南省国土空间规划（2021—2035年）》和《楚雄彝族自治州国民经济和社会发展第十四个五年规划和二〇三五年远景目标纲要》，组织编制《楚雄彝族自治州国土空间总体规划（2021—2035年）》（以下简称《规划》），推动建立全州国土空间规划体系。</w:t>
      </w:r>
    </w:p>
    <w:p w14:paraId="5E5F57DA">
      <w:pPr>
        <w:pStyle w:val="29"/>
        <w:overflowPunct w:val="0"/>
        <w:adjustRightInd/>
        <w:snapToGrid/>
        <w:spacing w:beforeAutospacing="0" w:afterAutospacing="0" w:line="58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规划》是楚雄州国土空间保护、开发、利用、修复的政策和总纲，是空间发展的指南、可持续发展的空间蓝图，是管全局、管长远的战略性规划，为国家和省州重大战略任务落地实施提供空间保障，对其他规划涉及的空间利用提供战略引领和刚性约束，是各类开发保护建设活动的基本依据。《规划》坚持</w:t>
      </w:r>
      <w:r>
        <w:rPr>
          <w:rFonts w:hint="eastAsia" w:eastAsia="方正仿宋_GBK"/>
          <w:color w:val="auto"/>
          <w:kern w:val="2"/>
          <w:sz w:val="30"/>
          <w:szCs w:val="30"/>
          <w:highlight w:val="none"/>
          <w:lang w:eastAsia="zh-CN"/>
        </w:rPr>
        <w:t>统筹发展和安全</w:t>
      </w:r>
      <w:r>
        <w:rPr>
          <w:rFonts w:eastAsia="方正仿宋_GBK"/>
          <w:color w:val="auto"/>
          <w:kern w:val="2"/>
          <w:sz w:val="30"/>
          <w:szCs w:val="30"/>
          <w:highlight w:val="none"/>
        </w:rPr>
        <w:t>，基于资源环境承载能力和国土空间适宜性，在划定耕地和永久基本农田、生态保护红线、城镇开发边界三条控制线的基础上，整体谋划国土空间开发保护新格局，优化农业、生态、城镇功能空间布局，完善规划实施管理机制和规划管理信息平台建设，提升国土空间治理能力现代化水平，为全州高质量发展提供空间保障。</w:t>
      </w:r>
    </w:p>
    <w:p w14:paraId="0ABA3A6A">
      <w:pPr>
        <w:pStyle w:val="29"/>
        <w:overflowPunct w:val="0"/>
        <w:adjustRightInd/>
        <w:snapToGrid/>
        <w:spacing w:beforeAutospacing="0" w:afterAutospacing="0" w:line="58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《规划》范围为楚雄州行政辖区内的全域国土空间，下辖2市8县。规划期限为2021年至2035年，规划基期为2020年，近期至2025年，远景展望至2050年。</w:t>
      </w:r>
    </w:p>
    <w:p w14:paraId="4D821B63">
      <w:pPr>
        <w:pStyle w:val="29"/>
        <w:overflowPunct w:val="0"/>
        <w:adjustRightInd/>
        <w:snapToGrid/>
        <w:spacing w:beforeAutospacing="0" w:afterAutospacing="0" w:line="580" w:lineRule="exact"/>
        <w:ind w:firstLine="600" w:firstLineChars="200"/>
        <w:jc w:val="both"/>
        <w:rPr>
          <w:rFonts w:eastAsia="方正仿宋_GBK"/>
          <w:color w:val="auto"/>
          <w:kern w:val="2"/>
          <w:sz w:val="30"/>
          <w:szCs w:val="30"/>
          <w:highlight w:val="none"/>
        </w:rPr>
      </w:pPr>
    </w:p>
    <w:p w14:paraId="65D487A7">
      <w:pPr>
        <w:rPr>
          <w:rFonts w:hint="eastAsia"/>
          <w:color w:val="auto"/>
          <w:highlight w:val="none"/>
        </w:rPr>
      </w:pPr>
      <w:bookmarkStart w:id="27" w:name="_Toc184639360"/>
      <w:bookmarkStart w:id="28" w:name="_Toc131433309"/>
      <w:bookmarkStart w:id="29" w:name="_Toc131433143"/>
      <w:bookmarkStart w:id="30" w:name="_Toc10308"/>
      <w:r>
        <w:rPr>
          <w:rFonts w:hint="eastAsia"/>
          <w:color w:val="auto"/>
          <w:highlight w:val="none"/>
        </w:rPr>
        <w:br w:type="page"/>
      </w:r>
    </w:p>
    <w:p w14:paraId="6026F274">
      <w:pPr>
        <w:pStyle w:val="63"/>
        <w:rPr>
          <w:color w:val="auto"/>
          <w:highlight w:val="none"/>
        </w:rPr>
      </w:pPr>
      <w:r>
        <w:rPr>
          <w:rFonts w:hint="eastAsia"/>
          <w:color w:val="auto"/>
          <w:highlight w:val="none"/>
        </w:rPr>
        <w:t>目   录</w:t>
      </w:r>
      <w:bookmarkEnd w:id="27"/>
    </w:p>
    <w:p w14:paraId="523D73CB">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rFonts w:ascii="Times New Roman" w:hAnsi="Times New Roman" w:cs="Times New Roman"/>
          <w:bCs w:val="0"/>
          <w:i w:val="0"/>
          <w:caps/>
          <w:color w:val="auto"/>
          <w:sz w:val="30"/>
          <w:szCs w:val="30"/>
          <w:highlight w:val="none"/>
        </w:rPr>
        <w:fldChar w:fldCharType="begin"/>
      </w:r>
      <w:r>
        <w:rPr>
          <w:rFonts w:ascii="Times New Roman" w:hAnsi="Times New Roman" w:cs="Times New Roman"/>
          <w:bCs w:val="0"/>
          <w:i w:val="0"/>
          <w:caps/>
          <w:color w:val="auto"/>
          <w:sz w:val="30"/>
          <w:szCs w:val="30"/>
          <w:highlight w:val="none"/>
        </w:rPr>
        <w:instrText xml:space="preserve"> TOC \o "1-2" \h \z \u </w:instrText>
      </w:r>
      <w:r>
        <w:rPr>
          <w:rFonts w:ascii="Times New Roman" w:hAnsi="Times New Roman" w:cs="Times New Roman"/>
          <w:bCs w:val="0"/>
          <w:i w:val="0"/>
          <w:caps/>
          <w:color w:val="auto"/>
          <w:sz w:val="30"/>
          <w:szCs w:val="30"/>
          <w:highlight w:val="none"/>
        </w:rPr>
        <w:fldChar w:fldCharType="separate"/>
      </w:r>
      <w:r>
        <w:rPr>
          <w:color w:val="auto"/>
          <w:highlight w:val="none"/>
        </w:rPr>
        <w:fldChar w:fldCharType="begin"/>
      </w:r>
      <w:r>
        <w:rPr>
          <w:color w:val="auto"/>
          <w:highlight w:val="none"/>
        </w:rPr>
        <w:instrText xml:space="preserve"> HYPERLINK \l "_Toc184639361"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第一章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国土空间基础与形势</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_Toc184639361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1A90022C">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现状基础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21B01A24">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成效与问题</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3</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BE7ADD7">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"_Toc184639364"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机遇与挑战</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_Toc184639364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2051E59">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"_Toc184639365"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第二章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国土空间总体目标与战略</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_Toc184639365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9</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1969FEF2">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"_Toc184639366"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指导思想</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_Toc184639366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2664FC1">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"_Toc184639367"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总体定位</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_Toc184639367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A0E4E51">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"_Toc184639368"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规划目标</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_Toc184639368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11</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1DF63E7">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"_Toc184639369"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空间战略</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_Toc184639369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12</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42084CBD">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"_Toc184639370"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第五节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指标体系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_Toc184639370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14</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5374D4DD">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"_Toc184639371"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第三章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以</w:t>
      </w:r>
      <w:r>
        <w:rPr>
          <w:rFonts w:ascii="Times New Roman" w:hAnsi="Times New Roman" w:eastAsia="方正仿宋_GBK" w:cs="Times New Roman"/>
          <w:b w:val="0"/>
          <w:bCs w:val="0"/>
          <w:i w:val="0"/>
          <w:iCs w:val="0"/>
          <w:color w:val="auto"/>
          <w:sz w:val="28"/>
          <w:szCs w:val="28"/>
          <w:highlight w:val="none"/>
        </w:rPr>
        <w:t>“</w:t>
      </w:r>
      <w:r>
        <w:rPr>
          <w:rFonts w:hint="eastAsia" w:ascii="Times New Roman" w:hAnsi="Times New Roman" w:eastAsia="方正仿宋_GBK" w:cs="Times New Roman"/>
          <w:b w:val="0"/>
          <w:bCs w:val="0"/>
          <w:i w:val="0"/>
          <w:iCs w:val="0"/>
          <w:color w:val="auto"/>
          <w:sz w:val="28"/>
          <w:szCs w:val="28"/>
          <w:highlight w:val="none"/>
        </w:rPr>
        <w:t>三区三线</w:t>
      </w:r>
      <w:r>
        <w:rPr>
          <w:rFonts w:ascii="Times New Roman" w:hAnsi="Times New Roman" w:eastAsia="方正仿宋_GBK" w:cs="Times New Roman"/>
          <w:b w:val="0"/>
          <w:bCs w:val="0"/>
          <w:i w:val="0"/>
          <w:iCs w:val="0"/>
          <w:color w:val="auto"/>
          <w:sz w:val="28"/>
          <w:szCs w:val="28"/>
          <w:highlight w:val="none"/>
        </w:rPr>
        <w:t>”</w:t>
      </w:r>
      <w:r>
        <w:rPr>
          <w:rFonts w:hint="eastAsia" w:ascii="Times New Roman" w:hAnsi="Times New Roman" w:eastAsia="方正仿宋_GBK" w:cs="Times New Roman"/>
          <w:b w:val="0"/>
          <w:bCs w:val="0"/>
          <w:i w:val="0"/>
          <w:iCs w:val="0"/>
          <w:color w:val="auto"/>
          <w:sz w:val="28"/>
          <w:szCs w:val="28"/>
          <w:highlight w:val="none"/>
        </w:rPr>
        <w:t>为基础，构建国土空间新格局</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_Toc184639371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16</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4416F2D5">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统筹划定</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三区三线</w:t>
      </w:r>
      <w:r>
        <w:rPr>
          <w:rFonts w:ascii="Times New Roman" w:hAnsi="Times New Roman" w:eastAsia="方正仿宋_GBK" w:cs="Times New Roman"/>
          <w:b w:val="0"/>
          <w:bCs w:val="0"/>
          <w:color w:val="auto"/>
          <w:sz w:val="28"/>
          <w:szCs w:val="28"/>
          <w:highlight w:val="none"/>
        </w:rPr>
        <w:t>”</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3F6EB955">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落实细化主体功能区布局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18</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5C8D78F">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"_Toc184639374"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做优</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三区两带</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农业空间格局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_Toc184639374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18</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55024F15">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"_Toc184639375"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构建</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两屏两带四廊多点</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生态安全格局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_Toc184639375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20</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54A0B311">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"_Toc184639376"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第五节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构建</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两圈一组</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城镇空间格局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_Toc184639376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22</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3402763B">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"_Toc184639377"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第六节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规划分区</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_Toc184639377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23</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5D7E9437">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"_Toc184639378"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第七节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用地结构优化</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_Toc184639378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26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5C08F991">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"_Toc184639379"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第四章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严格耕地保护，做优农业空间</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_Toc184639379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27</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5F5B059E">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"_Toc184639380"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落实耕地“三位一体”保护</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_Toc184639380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27</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41F3655A">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"_Toc184639381"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推进高原特色农业现代化</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_Toc184639381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30</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3183F734">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加强村庄规划引领，促进美丽乡村建设</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35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2EAF40A3">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开展农业空间综合整治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37</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44F7047">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"_Toc184639384"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第五章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提升生态系统质量，筑牢生态安全屏障</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_Toc184639384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40</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46931D13">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"_Toc184639385"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建立以国家公园为主体的自然保护地体系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_Toc184639385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40</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4CF2E1B">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"_Toc184639386"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全面提升生态系统功能</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_Toc184639386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41</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6B28913B">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"_Toc184639387"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强化生态空间管控</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_Toc184639387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44</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E5872F5">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"_Toc184639388"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全面推进生态修复</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_Toc184639388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45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23ED17B">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"_Toc184639389"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第六章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强化协作联动，打造品质宜居城镇空间</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_Toc184639389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49</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6EF74987">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"_Toc184639390"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构建协调有序的城镇体系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_Toc184639390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49</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FCCA4D3">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"_Toc184639391"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推进一体化城镇发展形态</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_Toc184639391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55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8DBF1F8">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推进产业空间聚集发展</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61</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8DE7D39">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全面提升城镇品质</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64</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A76F483">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"_Toc184639394"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第五节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促进城镇建设用地节约集约</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_Toc184639394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71</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108F025C">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"_Toc184639395"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第七章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保护利用自然和文化遗产，彰显特色魅力</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_Toc184639395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74</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595A42CF">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"_Toc184639396"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建立自然和历史文化遗产保护体系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_Toc184639396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74</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6C1F2A9">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"_Toc184639397"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构建“一心两带两区”的魅力空间格局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_Toc184639397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76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9873A14">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"_Toc184639398"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系统活化利用自然和历史文化遗产</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_Toc184639398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77</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23CBCE56">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"_Toc184639399"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第八章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建设基础支撑体系</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_Toc184639399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82</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5CB76E24">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"_Toc184639400"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构建现代综合交通体系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_Toc184639400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82</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4093E10">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"_Toc184639401"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统筹区域水资源利用调配</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_Toc184639401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86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719E9D43">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统筹能矿资源保障体系</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90</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6D040F0B">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发力新基建推进</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数字楚雄</w:t>
      </w:r>
      <w:r>
        <w:rPr>
          <w:rFonts w:ascii="Times New Roman" w:hAnsi="Times New Roman" w:eastAsia="方正仿宋_GBK" w:cs="Times New Roman"/>
          <w:b w:val="0"/>
          <w:bCs w:val="0"/>
          <w:color w:val="auto"/>
          <w:sz w:val="28"/>
          <w:szCs w:val="28"/>
          <w:highlight w:val="none"/>
        </w:rPr>
        <w:t>”</w:t>
      </w:r>
      <w:r>
        <w:rPr>
          <w:rFonts w:hint="eastAsia" w:ascii="Times New Roman" w:hAnsi="Times New Roman" w:eastAsia="方正仿宋_GBK" w:cs="Times New Roman"/>
          <w:b w:val="0"/>
          <w:bCs w:val="0"/>
          <w:color w:val="auto"/>
          <w:sz w:val="28"/>
          <w:szCs w:val="28"/>
          <w:highlight w:val="none"/>
        </w:rPr>
        <w:t>建设</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93</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4FC21500">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"_Toc184639404"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第五节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统筹协调基础设施空间布局</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_Toc184639404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63AC9284">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"_Toc184639405"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第六节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增强公共安全和防灾减灾能力</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_Toc184639405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96</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6E7DB2E8">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"_Toc184639406"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第九章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加强区域合作</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_Toc184639406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105</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67457021">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"_Toc184639407"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全面建设区域性枢纽节点</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_Toc184639407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105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6DEB99F2">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"_Toc184639408"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推动与周边省州市协同发展</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_Toc184639408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105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27DD1B4">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"_Toc184639409"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第十章</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创新机制保障规划实施</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_Toc184639409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109</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2FE29260">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"_Toc184639410"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第一节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加强组织保障</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_Toc184639410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109</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22163842">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"_Toc184639411"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第二节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建立规划传导机制</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_Toc184639411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109</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4978FC1D">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"_Toc184639412"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第三节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近期行动计划</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_Toc184639412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113</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416CD0F5">
      <w:pPr>
        <w:pStyle w:val="27"/>
        <w:tabs>
          <w:tab w:val="right" w:leader="dot" w:pos="8400"/>
          <w:tab w:val="clear" w:pos="8608"/>
        </w:tabs>
        <w:adjustRightInd/>
        <w:snapToGrid/>
        <w:spacing w:before="0" w:line="600" w:lineRule="exact"/>
        <w:ind w:left="640" w:leftChars="200"/>
        <w:jc w:val="both"/>
        <w:rPr>
          <w:rFonts w:ascii="Times New Roman" w:hAnsi="Times New Roman" w:eastAsia="方正仿宋_GBK" w:cs="Times New Roman"/>
          <w:b w:val="0"/>
          <w:bCs w:val="0"/>
          <w:color w:val="auto"/>
          <w:sz w:val="28"/>
          <w:szCs w:val="28"/>
          <w:highlight w:val="none"/>
        </w:rPr>
      </w:pPr>
      <w:r>
        <w:rPr>
          <w:color w:val="auto"/>
          <w:highlight w:val="none"/>
        </w:rPr>
        <w:fldChar w:fldCharType="begin"/>
      </w:r>
      <w:r>
        <w:rPr>
          <w:color w:val="auto"/>
          <w:highlight w:val="none"/>
        </w:rPr>
        <w:instrText xml:space="preserve"> HYPERLINK \l "_Toc184639413" </w:instrText>
      </w:r>
      <w:r>
        <w:rPr>
          <w:color w:val="auto"/>
          <w:highlight w:val="none"/>
        </w:rPr>
        <w:fldChar w:fldCharType="separate"/>
      </w:r>
      <w:r>
        <w:rPr>
          <w:rFonts w:hint="eastAsia" w:ascii="Times New Roman" w:hAnsi="Times New Roman" w:eastAsia="方正仿宋_GBK" w:cs="Times New Roman"/>
          <w:b w:val="0"/>
          <w:bCs w:val="0"/>
          <w:color w:val="auto"/>
          <w:sz w:val="28"/>
          <w:szCs w:val="28"/>
          <w:highlight w:val="none"/>
        </w:rPr>
        <w:t>第四节</w:t>
      </w:r>
      <w:r>
        <w:rPr>
          <w:rFonts w:ascii="Times New Roman" w:hAnsi="Times New Roman" w:eastAsia="方正仿宋_GBK" w:cs="Times New Roman"/>
          <w:b w:val="0"/>
          <w:bCs w:val="0"/>
          <w:color w:val="auto"/>
          <w:sz w:val="28"/>
          <w:szCs w:val="28"/>
          <w:highlight w:val="none"/>
        </w:rPr>
        <w:t xml:space="preserve"> </w:t>
      </w:r>
      <w:r>
        <w:rPr>
          <w:rFonts w:hint="eastAsia" w:ascii="Times New Roman" w:hAnsi="Times New Roman" w:eastAsia="方正仿宋_GBK" w:cs="Times New Roman"/>
          <w:b w:val="0"/>
          <w:bCs w:val="0"/>
          <w:color w:val="auto"/>
          <w:sz w:val="28"/>
          <w:szCs w:val="28"/>
          <w:highlight w:val="none"/>
        </w:rPr>
        <w:t>建立规划实施机制</w:t>
      </w:r>
      <w:r>
        <w:rPr>
          <w:rFonts w:ascii="Times New Roman" w:hAnsi="Times New Roman" w:eastAsia="方正仿宋_GBK" w:cs="Times New Roman"/>
          <w:b w:val="0"/>
          <w:bCs w:val="0"/>
          <w:color w:val="auto"/>
          <w:sz w:val="28"/>
          <w:szCs w:val="28"/>
          <w:highlight w:val="none"/>
        </w:rPr>
        <w:tab/>
      </w:r>
      <w:r>
        <w:rPr>
          <w:rFonts w:ascii="Times New Roman" w:hAnsi="Times New Roman" w:eastAsia="方正仿宋_GBK" w:cs="Times New Roman"/>
          <w:b w:val="0"/>
          <w:bCs w:val="0"/>
          <w:color w:val="auto"/>
          <w:sz w:val="28"/>
          <w:szCs w:val="28"/>
          <w:highlight w:val="none"/>
        </w:rPr>
        <w:fldChar w:fldCharType="begin"/>
      </w:r>
      <w:r>
        <w:rPr>
          <w:rFonts w:ascii="Times New Roman" w:hAnsi="Times New Roman" w:eastAsia="方正仿宋_GBK" w:cs="Times New Roman"/>
          <w:b w:val="0"/>
          <w:bCs w:val="0"/>
          <w:color w:val="auto"/>
          <w:sz w:val="28"/>
          <w:szCs w:val="28"/>
          <w:highlight w:val="none"/>
        </w:rPr>
        <w:instrText xml:space="preserve"> PAGEREF _Toc184639413 \h </w:instrText>
      </w:r>
      <w:r>
        <w:rPr>
          <w:rFonts w:ascii="Times New Roman" w:hAnsi="Times New Roman" w:eastAsia="方正仿宋_GBK" w:cs="Times New Roman"/>
          <w:b w:val="0"/>
          <w:bCs w:val="0"/>
          <w:color w:val="auto"/>
          <w:sz w:val="28"/>
          <w:szCs w:val="28"/>
          <w:highlight w:val="none"/>
        </w:rPr>
        <w:fldChar w:fldCharType="separate"/>
      </w:r>
      <w:r>
        <w:rPr>
          <w:rFonts w:ascii="Times New Roman" w:hAnsi="Times New Roman" w:eastAsia="方正仿宋_GBK" w:cs="Times New Roman"/>
          <w:b w:val="0"/>
          <w:bCs w:val="0"/>
          <w:color w:val="auto"/>
          <w:sz w:val="28"/>
          <w:szCs w:val="28"/>
          <w:highlight w:val="none"/>
        </w:rPr>
        <w:t>115</w:t>
      </w:r>
      <w:r>
        <w:rPr>
          <w:rFonts w:ascii="Times New Roman" w:hAnsi="Times New Roman" w:eastAsia="方正仿宋_GBK" w:cs="Times New Roman"/>
          <w:b w:val="0"/>
          <w:bCs w:val="0"/>
          <w:color w:val="auto"/>
          <w:sz w:val="28"/>
          <w:szCs w:val="28"/>
          <w:highlight w:val="none"/>
        </w:rPr>
        <w:fldChar w:fldCharType="end"/>
      </w:r>
      <w:r>
        <w:rPr>
          <w:rFonts w:ascii="Times New Roman" w:hAnsi="Times New Roman" w:eastAsia="方正仿宋_GBK" w:cs="Times New Roman"/>
          <w:b w:val="0"/>
          <w:bCs w:val="0"/>
          <w:color w:val="auto"/>
          <w:sz w:val="28"/>
          <w:szCs w:val="28"/>
          <w:highlight w:val="none"/>
        </w:rPr>
        <w:fldChar w:fldCharType="end"/>
      </w:r>
    </w:p>
    <w:p w14:paraId="06991A7A">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"_Toc184639414"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附</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表</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_Toc184639414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119</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7B0FB27A">
      <w:pPr>
        <w:pStyle w:val="22"/>
        <w:tabs>
          <w:tab w:val="right" w:leader="dot" w:pos="8400"/>
        </w:tabs>
        <w:adjustRightInd/>
        <w:snapToGrid/>
        <w:spacing w:before="0"/>
        <w:ind w:firstLine="0" w:firstLineChars="0"/>
        <w:jc w:val="both"/>
        <w:rPr>
          <w:rFonts w:ascii="Times New Roman" w:hAnsi="Times New Roman" w:eastAsia="方正仿宋_GBK" w:cs="Times New Roman"/>
          <w:b w:val="0"/>
          <w:bCs w:val="0"/>
          <w:i w:val="0"/>
          <w:iCs w:val="0"/>
          <w:color w:val="auto"/>
          <w:sz w:val="28"/>
          <w:szCs w:val="28"/>
          <w:highlight w:val="none"/>
        </w:rPr>
        <w:sectPr>
          <w:footerReference r:id="rId11" w:type="default"/>
          <w:pgSz w:w="11906" w:h="16838"/>
          <w:pgMar w:top="2041" w:right="1644" w:bottom="1871" w:left="1644" w:header="851" w:footer="992" w:gutter="0"/>
          <w:pgNumType w:fmt="upperRoman" w:start="1"/>
          <w:cols w:space="425" w:num="1"/>
          <w:docGrid w:type="linesAndChars" w:linePitch="312" w:charSpace="0"/>
        </w:sectPr>
      </w:pPr>
      <w:r>
        <w:rPr>
          <w:color w:val="auto"/>
          <w:highlight w:val="none"/>
        </w:rPr>
        <w:fldChar w:fldCharType="begin"/>
      </w:r>
      <w:r>
        <w:rPr>
          <w:color w:val="auto"/>
          <w:highlight w:val="none"/>
        </w:rPr>
        <w:instrText xml:space="preserve"> HYPERLINK \l "_Toc184639425" </w:instrText>
      </w:r>
      <w:r>
        <w:rPr>
          <w:color w:val="auto"/>
          <w:highlight w:val="none"/>
        </w:rPr>
        <w:fldChar w:fldCharType="separate"/>
      </w:r>
      <w:r>
        <w:rPr>
          <w:rFonts w:hint="eastAsia" w:ascii="Times New Roman" w:hAnsi="Times New Roman" w:eastAsia="方正仿宋_GBK" w:cs="Times New Roman"/>
          <w:b w:val="0"/>
          <w:bCs w:val="0"/>
          <w:i w:val="0"/>
          <w:iCs w:val="0"/>
          <w:color w:val="auto"/>
          <w:sz w:val="28"/>
          <w:szCs w:val="28"/>
          <w:highlight w:val="none"/>
        </w:rPr>
        <w:t>附</w:t>
      </w:r>
      <w:r>
        <w:rPr>
          <w:rFonts w:ascii="Times New Roman" w:hAnsi="Times New Roman" w:eastAsia="方正仿宋_GBK" w:cs="Times New Roman"/>
          <w:b w:val="0"/>
          <w:bCs w:val="0"/>
          <w:i w:val="0"/>
          <w:iCs w:val="0"/>
          <w:color w:val="auto"/>
          <w:sz w:val="28"/>
          <w:szCs w:val="28"/>
          <w:highlight w:val="none"/>
        </w:rPr>
        <w:t xml:space="preserve"> </w:t>
      </w:r>
      <w:r>
        <w:rPr>
          <w:rFonts w:hint="eastAsia" w:ascii="Times New Roman" w:hAnsi="Times New Roman" w:eastAsia="方正仿宋_GBK" w:cs="Times New Roman"/>
          <w:b w:val="0"/>
          <w:bCs w:val="0"/>
          <w:i w:val="0"/>
          <w:iCs w:val="0"/>
          <w:color w:val="auto"/>
          <w:sz w:val="28"/>
          <w:szCs w:val="28"/>
          <w:highlight w:val="none"/>
        </w:rPr>
        <w:t>图</w:t>
      </w:r>
      <w:r>
        <w:rPr>
          <w:rFonts w:ascii="Times New Roman" w:hAnsi="Times New Roman" w:eastAsia="方正仿宋_GBK" w:cs="Times New Roman"/>
          <w:b w:val="0"/>
          <w:bCs w:val="0"/>
          <w:i w:val="0"/>
          <w:iCs w:val="0"/>
          <w:color w:val="auto"/>
          <w:sz w:val="28"/>
          <w:szCs w:val="28"/>
          <w:highlight w:val="none"/>
        </w:rPr>
        <w:tab/>
      </w:r>
      <w:r>
        <w:rPr>
          <w:rFonts w:ascii="Times New Roman" w:hAnsi="Times New Roman" w:eastAsia="方正仿宋_GBK" w:cs="Times New Roman"/>
          <w:b w:val="0"/>
          <w:bCs w:val="0"/>
          <w:i w:val="0"/>
          <w:iCs w:val="0"/>
          <w:color w:val="auto"/>
          <w:sz w:val="28"/>
          <w:szCs w:val="28"/>
          <w:highlight w:val="none"/>
        </w:rPr>
        <w:fldChar w:fldCharType="begin"/>
      </w:r>
      <w:r>
        <w:rPr>
          <w:rFonts w:ascii="Times New Roman" w:hAnsi="Times New Roman" w:eastAsia="方正仿宋_GBK" w:cs="Times New Roman"/>
          <w:b w:val="0"/>
          <w:bCs w:val="0"/>
          <w:i w:val="0"/>
          <w:iCs w:val="0"/>
          <w:color w:val="auto"/>
          <w:sz w:val="28"/>
          <w:szCs w:val="28"/>
          <w:highlight w:val="none"/>
        </w:rPr>
        <w:instrText xml:space="preserve"> PAGEREF _Toc184639425 \h </w:instrText>
      </w:r>
      <w:r>
        <w:rPr>
          <w:rFonts w:ascii="Times New Roman" w:hAnsi="Times New Roman" w:eastAsia="方正仿宋_GBK" w:cs="Times New Roman"/>
          <w:b w:val="0"/>
          <w:bCs w:val="0"/>
          <w:i w:val="0"/>
          <w:iCs w:val="0"/>
          <w:color w:val="auto"/>
          <w:sz w:val="28"/>
          <w:szCs w:val="28"/>
          <w:highlight w:val="none"/>
        </w:rPr>
        <w:fldChar w:fldCharType="separate"/>
      </w:r>
      <w:r>
        <w:rPr>
          <w:rFonts w:ascii="Times New Roman" w:hAnsi="Times New Roman" w:eastAsia="方正仿宋_GBK" w:cs="Times New Roman"/>
          <w:b w:val="0"/>
          <w:bCs w:val="0"/>
          <w:i w:val="0"/>
          <w:iCs w:val="0"/>
          <w:color w:val="auto"/>
          <w:sz w:val="28"/>
          <w:szCs w:val="28"/>
          <w:highlight w:val="none"/>
        </w:rPr>
        <w:t>119</w:t>
      </w:r>
      <w:r>
        <w:rPr>
          <w:rFonts w:ascii="Times New Roman" w:hAnsi="Times New Roman" w:eastAsia="方正仿宋_GBK" w:cs="Times New Roman"/>
          <w:b w:val="0"/>
          <w:bCs w:val="0"/>
          <w:i w:val="0"/>
          <w:iCs w:val="0"/>
          <w:color w:val="auto"/>
          <w:sz w:val="28"/>
          <w:szCs w:val="28"/>
          <w:highlight w:val="none"/>
        </w:rPr>
        <w:fldChar w:fldCharType="end"/>
      </w:r>
      <w:r>
        <w:rPr>
          <w:rFonts w:ascii="Times New Roman" w:hAnsi="Times New Roman" w:eastAsia="方正仿宋_GBK" w:cs="Times New Roman"/>
          <w:b w:val="0"/>
          <w:bCs w:val="0"/>
          <w:i w:val="0"/>
          <w:iCs w:val="0"/>
          <w:color w:val="auto"/>
          <w:sz w:val="28"/>
          <w:szCs w:val="28"/>
          <w:highlight w:val="none"/>
        </w:rPr>
        <w:fldChar w:fldCharType="end"/>
      </w:r>
    </w:p>
    <w:p w14:paraId="1E97079B">
      <w:pPr>
        <w:pStyle w:val="63"/>
        <w:rPr>
          <w:color w:val="auto"/>
          <w:highlight w:val="none"/>
        </w:rPr>
      </w:pPr>
      <w:r>
        <w:rPr>
          <w:rFonts w:eastAsia="仿宋_GB2312"/>
          <w:caps/>
          <w:color w:val="auto"/>
          <w:kern w:val="2"/>
          <w:sz w:val="30"/>
          <w:szCs w:val="30"/>
          <w:highlight w:val="none"/>
        </w:rPr>
        <w:fldChar w:fldCharType="end"/>
      </w:r>
      <w:bookmarkStart w:id="31" w:name="_Toc184639361"/>
      <w:r>
        <w:rPr>
          <w:rFonts w:hint="eastAsia"/>
          <w:color w:val="auto"/>
          <w:highlight w:val="none"/>
        </w:rPr>
        <w:t>第一章 国土空间基础与形势</w:t>
      </w:r>
      <w:bookmarkEnd w:id="28"/>
      <w:bookmarkEnd w:id="29"/>
      <w:bookmarkEnd w:id="30"/>
      <w:bookmarkEnd w:id="31"/>
    </w:p>
    <w:p w14:paraId="230B78F0">
      <w:pPr>
        <w:pStyle w:val="5"/>
        <w:rPr>
          <w:color w:val="auto"/>
          <w:highlight w:val="none"/>
        </w:rPr>
      </w:pPr>
      <w:bookmarkStart w:id="32" w:name="_Toc16023"/>
      <w:bookmarkStart w:id="33" w:name="_Toc131433144"/>
      <w:bookmarkStart w:id="34" w:name="_Toc131433310"/>
      <w:bookmarkStart w:id="35" w:name="_Toc184639362"/>
      <w:r>
        <w:rPr>
          <w:rFonts w:hint="eastAsia"/>
          <w:color w:val="auto"/>
          <w:highlight w:val="none"/>
        </w:rPr>
        <w:t xml:space="preserve">第一节 </w:t>
      </w:r>
      <w:bookmarkEnd w:id="32"/>
      <w:r>
        <w:rPr>
          <w:rFonts w:hint="eastAsia"/>
          <w:color w:val="auto"/>
          <w:highlight w:val="none"/>
        </w:rPr>
        <w:t>现状基础</w:t>
      </w:r>
      <w:bookmarkEnd w:id="33"/>
      <w:bookmarkEnd w:id="34"/>
      <w:bookmarkEnd w:id="35"/>
    </w:p>
    <w:p w14:paraId="0A2B4870">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滇中走廊、川滇通道。</w:t>
      </w:r>
      <w:r>
        <w:rPr>
          <w:rFonts w:eastAsia="方正仿宋_GBK"/>
          <w:color w:val="auto"/>
          <w:sz w:val="30"/>
          <w:szCs w:val="30"/>
          <w:highlight w:val="none"/>
        </w:rPr>
        <w:t>楚雄州地处云南省中部偏北，滇中核心区域，东靠昆明市，西接大理白族自治州，南连普洱市和玉溪市，北</w:t>
      </w:r>
      <w:r>
        <w:rPr>
          <w:rFonts w:hint="eastAsia" w:eastAsia="方正仿宋_GBK"/>
          <w:color w:val="auto"/>
          <w:sz w:val="30"/>
          <w:szCs w:val="30"/>
          <w:highlight w:val="none"/>
          <w:lang w:eastAsia="zh-CN"/>
        </w:rPr>
        <w:t>邻</w:t>
      </w:r>
      <w:r>
        <w:rPr>
          <w:rFonts w:eastAsia="方正仿宋_GBK"/>
          <w:color w:val="auto"/>
          <w:sz w:val="30"/>
          <w:szCs w:val="30"/>
          <w:highlight w:val="none"/>
        </w:rPr>
        <w:t>四川省攀枝花市和凉山彝族自治州，西北隔金沙江与丽江市相望，是省会昆明市通往滇西7州（市）的必经之地，州内320国道、108国道和昆瑞高速公路，以及成昆铁路、广大铁路、广昆复线穿境而过，是滇西南地区和滇川两省互联互通的陆路要冲，是内地通往南亚、东南亚直达印度洋的重要通道之一，是国家“一带一路”“长江经济带”上重要战略节点。</w:t>
      </w:r>
    </w:p>
    <w:p w14:paraId="39869B79">
      <w:pPr>
        <w:ind w:firstLine="600"/>
        <w:rPr>
          <w:color w:val="auto"/>
          <w:sz w:val="30"/>
          <w:szCs w:val="30"/>
          <w:highlight w:val="none"/>
        </w:rPr>
      </w:pPr>
      <w:r>
        <w:rPr>
          <w:rFonts w:hint="eastAsia" w:ascii="方正楷体_GBK" w:eastAsia="方正楷体_GBK"/>
          <w:color w:val="auto"/>
          <w:sz w:val="30"/>
          <w:szCs w:val="30"/>
          <w:highlight w:val="none"/>
        </w:rPr>
        <w:t>山地高原、立体气候。</w:t>
      </w:r>
      <w:r>
        <w:rPr>
          <w:rFonts w:hint="eastAsia" w:eastAsia="方正仿宋_GBK"/>
          <w:color w:val="auto"/>
          <w:sz w:val="30"/>
          <w:szCs w:val="30"/>
          <w:highlight w:val="none"/>
        </w:rPr>
        <w:t>楚雄州地势由西北向东南倾斜，属云贵高原西部、滇中高原的主体部位，地貌复杂，具有东西稍高、中部低缓、南北较低的特征，属山地高原地形，山地面积占国土面积的</w:t>
      </w:r>
      <w:r>
        <w:rPr>
          <w:rFonts w:eastAsia="方正仿宋_GBK"/>
          <w:color w:val="auto"/>
          <w:sz w:val="30"/>
          <w:szCs w:val="30"/>
          <w:highlight w:val="none"/>
        </w:rPr>
        <w:t>93.78%</w:t>
      </w:r>
      <w:r>
        <w:rPr>
          <w:rFonts w:hint="eastAsia" w:eastAsia="方正仿宋_GBK"/>
          <w:color w:val="auto"/>
          <w:sz w:val="30"/>
          <w:szCs w:val="30"/>
          <w:highlight w:val="none"/>
        </w:rPr>
        <w:t>，坝区面积占国土面积的</w:t>
      </w:r>
      <w:r>
        <w:rPr>
          <w:rFonts w:eastAsia="方正仿宋_GBK"/>
          <w:color w:val="auto"/>
          <w:sz w:val="30"/>
          <w:szCs w:val="30"/>
          <w:highlight w:val="none"/>
        </w:rPr>
        <w:t>6.22%</w:t>
      </w:r>
      <w:r>
        <w:rPr>
          <w:rFonts w:hint="eastAsia" w:eastAsia="方正仿宋_GBK"/>
          <w:color w:val="auto"/>
          <w:sz w:val="30"/>
          <w:szCs w:val="30"/>
          <w:highlight w:val="none"/>
        </w:rPr>
        <w:t>。境内乌蒙山、哀牢山、百草岭“三山鼎立”，金沙江（长江）、元江（红河）两大水系“二水分流”，境内最高点是大姚县百草岭的主峰帽台山，海拔</w:t>
      </w:r>
      <w:r>
        <w:rPr>
          <w:rFonts w:eastAsia="方正仿宋_GBK"/>
          <w:color w:val="auto"/>
          <w:sz w:val="30"/>
          <w:szCs w:val="30"/>
          <w:highlight w:val="none"/>
        </w:rPr>
        <w:t>3657</w:t>
      </w:r>
      <w:r>
        <w:rPr>
          <w:rFonts w:hint="eastAsia" w:eastAsia="方正仿宋_GBK"/>
          <w:color w:val="auto"/>
          <w:sz w:val="30"/>
          <w:szCs w:val="30"/>
          <w:highlight w:val="none"/>
        </w:rPr>
        <w:t>米，最低点是双柏县与玉溪市新平县交界的三江口，海拔</w:t>
      </w:r>
      <w:r>
        <w:rPr>
          <w:rFonts w:eastAsia="方正仿宋_GBK"/>
          <w:color w:val="auto"/>
          <w:sz w:val="30"/>
          <w:szCs w:val="30"/>
          <w:highlight w:val="none"/>
        </w:rPr>
        <w:t>556</w:t>
      </w:r>
      <w:r>
        <w:rPr>
          <w:rFonts w:hint="eastAsia" w:eastAsia="方正仿宋_GBK"/>
          <w:color w:val="auto"/>
          <w:sz w:val="30"/>
          <w:szCs w:val="30"/>
          <w:highlight w:val="none"/>
        </w:rPr>
        <w:t>米。境内气候属亚热带低纬高原季风型，气温垂直变化特点显著，具有夏季短，春秋季长，日温差大，年温差小，冬无严寒，夏无酷暑，干湿分明，雨热同季，日照充足，霜期较短，蒸发旺盛，降水偏少的特征；因地形和海拔的差异，气象要素时空分布复杂、立体气候和小气候特征明显</w:t>
      </w:r>
      <w:r>
        <w:rPr>
          <w:rFonts w:eastAsia="方正仿宋_GBK"/>
          <w:color w:val="auto"/>
          <w:sz w:val="30"/>
          <w:szCs w:val="30"/>
          <w:highlight w:val="none"/>
        </w:rPr>
        <w:t>。</w:t>
      </w:r>
    </w:p>
    <w:p w14:paraId="7C073FEE">
      <w:pPr>
        <w:ind w:firstLine="600"/>
        <w:rPr>
          <w:color w:val="auto"/>
          <w:sz w:val="30"/>
          <w:szCs w:val="30"/>
          <w:highlight w:val="none"/>
        </w:rPr>
      </w:pPr>
      <w:r>
        <w:rPr>
          <w:rFonts w:hint="eastAsia" w:ascii="方正楷体_GBK" w:eastAsia="方正楷体_GBK"/>
          <w:color w:val="auto"/>
          <w:sz w:val="30"/>
          <w:szCs w:val="30"/>
          <w:highlight w:val="none"/>
        </w:rPr>
        <w:t>资源富集，种类繁多。</w:t>
      </w:r>
      <w:r>
        <w:rPr>
          <w:rFonts w:eastAsia="方正仿宋_GBK"/>
          <w:color w:val="auto"/>
          <w:sz w:val="30"/>
          <w:szCs w:val="30"/>
          <w:highlight w:val="none"/>
        </w:rPr>
        <w:t>矿产资源丰富，是云南省矿产种类较多的州市之一，已发现73种矿产，占全国已发现矿产总数的42.70%，占全省已发现矿种总数的51.40%，主要优势矿种有煤、铁、钛、铜、铂钯、稀土、黄金、盐、饰面用砂岩（木纹石）等。新能源资源富集，境内可开发太阳能资源量在700万千瓦时以上，永仁县是全省日照时数最多、日照百分率最大的地区之一，永仁、元谋、大姚、姚安4个县是全省太阳能资源优势区域；可开发风电资源量约650万千瓦时，风电场平均利用小时数高出全国平均水平30%。全州耕地面积居全省第9位，占全省耕地总面积的6.19%，人均耕地面积高于全省平均水平。历史遗存丰富，拥有170万年前的元谋人遗址、2亿年前的禄丰恐龙化石、</w:t>
      </w:r>
      <w:r>
        <w:rPr>
          <w:rFonts w:hint="eastAsia" w:eastAsia="方正仿宋_GBK"/>
          <w:color w:val="auto"/>
          <w:sz w:val="30"/>
          <w:szCs w:val="30"/>
          <w:highlight w:val="none"/>
        </w:rPr>
        <w:t>历史文化名镇3个、历史文化名村3个、中国传统村落28个</w:t>
      </w:r>
      <w:r>
        <w:rPr>
          <w:rFonts w:eastAsia="方正仿宋_GBK"/>
          <w:color w:val="auto"/>
          <w:sz w:val="30"/>
          <w:szCs w:val="30"/>
          <w:highlight w:val="none"/>
        </w:rPr>
        <w:t>、不可移动文物805处，拥有十月太阳历、《查姆》《梅葛》《齐苏书》等中华民族文化典籍。</w:t>
      </w:r>
    </w:p>
    <w:p w14:paraId="3D2C7889">
      <w:pPr>
        <w:ind w:firstLine="600"/>
        <w:rPr>
          <w:rFonts w:ascii="仿宋_GB2312"/>
          <w:color w:val="auto"/>
          <w:sz w:val="30"/>
          <w:szCs w:val="30"/>
          <w:highlight w:val="none"/>
        </w:rPr>
      </w:pPr>
      <w:r>
        <w:rPr>
          <w:rFonts w:hint="eastAsia" w:ascii="方正楷体_GBK" w:eastAsia="方正楷体_GBK"/>
          <w:color w:val="auto"/>
          <w:sz w:val="30"/>
          <w:szCs w:val="30"/>
          <w:highlight w:val="none"/>
        </w:rPr>
        <w:t>生态优越、生物多样。</w:t>
      </w:r>
      <w:r>
        <w:rPr>
          <w:rFonts w:hint="eastAsia" w:eastAsia="方正仿宋_GBK"/>
          <w:color w:val="auto"/>
          <w:sz w:val="30"/>
          <w:szCs w:val="30"/>
          <w:highlight w:val="none"/>
        </w:rPr>
        <w:t>楚雄州是全省森林生态系统原真性和完整性较高的州市之一，境内动植物资源丰富，有重点保护野生动物126种，重点保护野生植物67种。森林蓄积量全省排名第7，森林覆盖率高于全省平均水平，累计建立各类自然保护地30个，湿地保护率达74.28%。</w:t>
      </w:r>
    </w:p>
    <w:p w14:paraId="6E18E8F9">
      <w:pPr>
        <w:pStyle w:val="29"/>
        <w:overflowPunct w:val="0"/>
        <w:spacing w:beforeAutospacing="0" w:afterAutospacing="0" w:line="600" w:lineRule="exact"/>
        <w:ind w:firstLine="600" w:firstLineChars="200"/>
        <w:jc w:val="both"/>
        <w:rPr>
          <w:rFonts w:eastAsia="仿宋_GB2312"/>
          <w:color w:val="auto"/>
          <w:kern w:val="2"/>
          <w:sz w:val="32"/>
          <w:highlight w:val="none"/>
        </w:rPr>
      </w:pPr>
      <w:r>
        <w:rPr>
          <w:rFonts w:hint="eastAsia" w:ascii="方正楷体_GBK" w:eastAsia="方正楷体_GBK"/>
          <w:color w:val="auto"/>
          <w:kern w:val="2"/>
          <w:sz w:val="30"/>
          <w:szCs w:val="30"/>
          <w:highlight w:val="none"/>
        </w:rPr>
        <w:t>民族和谐，依坝而居。</w:t>
      </w:r>
      <w:r>
        <w:rPr>
          <w:rFonts w:hint="eastAsia" w:eastAsia="方正仿宋_GBK"/>
          <w:color w:val="auto"/>
          <w:kern w:val="2"/>
          <w:sz w:val="30"/>
          <w:szCs w:val="30"/>
          <w:highlight w:val="none"/>
        </w:rPr>
        <w:t>根据</w:t>
      </w:r>
      <w:r>
        <w:rPr>
          <w:rFonts w:eastAsia="方正仿宋_GBK"/>
          <w:color w:val="auto"/>
          <w:kern w:val="2"/>
          <w:sz w:val="30"/>
          <w:szCs w:val="30"/>
          <w:highlight w:val="none"/>
        </w:rPr>
        <w:t>2020</w:t>
      </w:r>
      <w:r>
        <w:rPr>
          <w:rFonts w:hint="eastAsia" w:eastAsia="方正仿宋_GBK"/>
          <w:color w:val="auto"/>
          <w:kern w:val="2"/>
          <w:sz w:val="30"/>
          <w:szCs w:val="30"/>
          <w:highlight w:val="none"/>
        </w:rPr>
        <w:t>年云南省第七次全国人口普查数据，全州总人口（常住人口）为</w:t>
      </w:r>
      <w:r>
        <w:rPr>
          <w:rFonts w:eastAsia="方正仿宋_GBK"/>
          <w:color w:val="auto"/>
          <w:kern w:val="2"/>
          <w:sz w:val="30"/>
          <w:szCs w:val="30"/>
          <w:highlight w:val="none"/>
        </w:rPr>
        <w:t>241.67</w:t>
      </w:r>
      <w:r>
        <w:rPr>
          <w:rFonts w:hint="eastAsia" w:eastAsia="方正仿宋_GBK"/>
          <w:color w:val="auto"/>
          <w:kern w:val="2"/>
          <w:sz w:val="30"/>
          <w:szCs w:val="30"/>
          <w:highlight w:val="none"/>
        </w:rPr>
        <w:t>万人，占全省总人口的</w:t>
      </w:r>
      <w:r>
        <w:rPr>
          <w:rFonts w:eastAsia="方正仿宋_GBK"/>
          <w:color w:val="auto"/>
          <w:kern w:val="2"/>
          <w:sz w:val="30"/>
          <w:szCs w:val="30"/>
          <w:highlight w:val="none"/>
        </w:rPr>
        <w:t>5.12%</w:t>
      </w:r>
      <w:r>
        <w:rPr>
          <w:rFonts w:hint="eastAsia" w:eastAsia="方正仿宋_GBK"/>
          <w:color w:val="auto"/>
          <w:kern w:val="2"/>
          <w:sz w:val="30"/>
          <w:szCs w:val="30"/>
          <w:highlight w:val="none"/>
        </w:rPr>
        <w:t>，全省排名第</w:t>
      </w:r>
      <w:r>
        <w:rPr>
          <w:rFonts w:eastAsia="方正仿宋_GBK"/>
          <w:color w:val="auto"/>
          <w:kern w:val="2"/>
          <w:sz w:val="30"/>
          <w:szCs w:val="30"/>
          <w:highlight w:val="none"/>
        </w:rPr>
        <w:t>8</w:t>
      </w:r>
      <w:r>
        <w:rPr>
          <w:rFonts w:hint="eastAsia" w:eastAsia="方正仿宋_GBK"/>
          <w:color w:val="auto"/>
          <w:kern w:val="2"/>
          <w:sz w:val="30"/>
          <w:szCs w:val="30"/>
          <w:highlight w:val="none"/>
        </w:rPr>
        <w:t>。少数民族人口占全州总人口的</w:t>
      </w:r>
      <w:r>
        <w:rPr>
          <w:rFonts w:eastAsia="方正仿宋_GBK"/>
          <w:color w:val="auto"/>
          <w:kern w:val="2"/>
          <w:sz w:val="30"/>
          <w:szCs w:val="30"/>
          <w:highlight w:val="none"/>
        </w:rPr>
        <w:t>36.74%</w:t>
      </w:r>
      <w:r>
        <w:rPr>
          <w:rFonts w:hint="eastAsia" w:eastAsia="方正仿宋_GBK"/>
          <w:color w:val="auto"/>
          <w:kern w:val="2"/>
          <w:sz w:val="30"/>
          <w:szCs w:val="30"/>
          <w:highlight w:val="none"/>
        </w:rPr>
        <w:t>，万人以上少数民族有彝族、傈僳族、苗族、傣族、回族和白族，其中彝族人口占少数民族人口的</w:t>
      </w:r>
      <w:r>
        <w:rPr>
          <w:rFonts w:eastAsia="方正仿宋_GBK"/>
          <w:color w:val="auto"/>
          <w:kern w:val="2"/>
          <w:sz w:val="30"/>
          <w:szCs w:val="30"/>
          <w:highlight w:val="none"/>
        </w:rPr>
        <w:t>80.35%</w:t>
      </w:r>
      <w:r>
        <w:rPr>
          <w:rFonts w:hint="eastAsia" w:eastAsia="方正仿宋_GBK"/>
          <w:color w:val="auto"/>
          <w:kern w:val="2"/>
          <w:sz w:val="30"/>
          <w:szCs w:val="30"/>
          <w:highlight w:val="none"/>
        </w:rPr>
        <w:t>。城镇用地集中分布于坝区，全州</w:t>
      </w:r>
      <w:r>
        <w:rPr>
          <w:rFonts w:eastAsia="方正仿宋_GBK"/>
          <w:color w:val="auto"/>
          <w:kern w:val="2"/>
          <w:sz w:val="30"/>
          <w:szCs w:val="30"/>
          <w:highlight w:val="none"/>
        </w:rPr>
        <w:t>6%</w:t>
      </w:r>
      <w:r>
        <w:rPr>
          <w:rFonts w:hint="eastAsia" w:eastAsia="方正仿宋_GBK"/>
          <w:color w:val="auto"/>
          <w:kern w:val="2"/>
          <w:sz w:val="30"/>
          <w:szCs w:val="30"/>
          <w:highlight w:val="none"/>
        </w:rPr>
        <w:t>的坝区承载了全州</w:t>
      </w:r>
      <w:r>
        <w:rPr>
          <w:rFonts w:eastAsia="方正仿宋_GBK"/>
          <w:color w:val="auto"/>
          <w:kern w:val="2"/>
          <w:sz w:val="30"/>
          <w:szCs w:val="30"/>
          <w:highlight w:val="none"/>
        </w:rPr>
        <w:t>40%</w:t>
      </w:r>
      <w:r>
        <w:rPr>
          <w:rFonts w:hint="eastAsia" w:eastAsia="方正仿宋_GBK"/>
          <w:color w:val="auto"/>
          <w:kern w:val="2"/>
          <w:sz w:val="30"/>
          <w:szCs w:val="30"/>
          <w:highlight w:val="none"/>
        </w:rPr>
        <w:t>的建设用地，坝区城镇用地占全州城镇用地的</w:t>
      </w:r>
      <w:r>
        <w:rPr>
          <w:rFonts w:eastAsia="方正仿宋_GBK"/>
          <w:color w:val="auto"/>
          <w:kern w:val="2"/>
          <w:sz w:val="30"/>
          <w:szCs w:val="30"/>
          <w:highlight w:val="none"/>
        </w:rPr>
        <w:t>79.19%</w:t>
      </w:r>
      <w:r>
        <w:rPr>
          <w:rFonts w:hint="eastAsia" w:eastAsia="方正仿宋_GBK"/>
          <w:color w:val="auto"/>
          <w:kern w:val="2"/>
          <w:sz w:val="30"/>
          <w:szCs w:val="30"/>
          <w:highlight w:val="none"/>
        </w:rPr>
        <w:t>，全州</w:t>
      </w:r>
      <w:r>
        <w:rPr>
          <w:rFonts w:eastAsia="方正仿宋_GBK"/>
          <w:color w:val="auto"/>
          <w:kern w:val="2"/>
          <w:sz w:val="30"/>
          <w:szCs w:val="30"/>
          <w:highlight w:val="none"/>
        </w:rPr>
        <w:t>10</w:t>
      </w:r>
      <w:r>
        <w:rPr>
          <w:rFonts w:hint="eastAsia" w:eastAsia="方正仿宋_GBK"/>
          <w:color w:val="auto"/>
          <w:kern w:val="2"/>
          <w:sz w:val="30"/>
          <w:szCs w:val="30"/>
          <w:highlight w:val="none"/>
        </w:rPr>
        <w:t>个县（市）驻地和</w:t>
      </w:r>
      <w:r>
        <w:rPr>
          <w:rFonts w:eastAsia="方正仿宋_GBK"/>
          <w:color w:val="auto"/>
          <w:kern w:val="2"/>
          <w:sz w:val="30"/>
          <w:szCs w:val="30"/>
          <w:highlight w:val="none"/>
        </w:rPr>
        <w:t>63%</w:t>
      </w:r>
      <w:r>
        <w:rPr>
          <w:rFonts w:hint="eastAsia" w:eastAsia="方正仿宋_GBK"/>
          <w:color w:val="auto"/>
          <w:kern w:val="2"/>
          <w:sz w:val="30"/>
          <w:szCs w:val="30"/>
          <w:highlight w:val="none"/>
        </w:rPr>
        <w:t>的乡镇驻地位于坝区，坝区是人口、农业生产和城镇建设最集中的区域。全州现有</w:t>
      </w:r>
      <w:r>
        <w:rPr>
          <w:rFonts w:eastAsia="方正仿宋_GBK"/>
          <w:color w:val="auto"/>
          <w:kern w:val="2"/>
          <w:sz w:val="30"/>
          <w:szCs w:val="30"/>
          <w:highlight w:val="none"/>
        </w:rPr>
        <w:t>1</w:t>
      </w:r>
      <w:r>
        <w:rPr>
          <w:rFonts w:hint="eastAsia" w:eastAsia="方正仿宋_GBK"/>
          <w:color w:val="auto"/>
          <w:kern w:val="2"/>
          <w:sz w:val="30"/>
          <w:szCs w:val="30"/>
          <w:highlight w:val="none"/>
        </w:rPr>
        <w:t>个</w:t>
      </w:r>
      <w:r>
        <w:rPr>
          <w:rFonts w:eastAsia="方正仿宋_GBK"/>
          <w:color w:val="auto"/>
          <w:kern w:val="2"/>
          <w:sz w:val="30"/>
          <w:szCs w:val="30"/>
          <w:highlight w:val="none"/>
        </w:rPr>
        <w:t>I</w:t>
      </w:r>
      <w:r>
        <w:rPr>
          <w:rFonts w:hint="eastAsia" w:eastAsia="方正仿宋_GBK"/>
          <w:color w:val="auto"/>
          <w:kern w:val="2"/>
          <w:sz w:val="30"/>
          <w:szCs w:val="30"/>
          <w:highlight w:val="none"/>
        </w:rPr>
        <w:t>型小城市和</w:t>
      </w:r>
      <w:r>
        <w:rPr>
          <w:rFonts w:eastAsia="方正仿宋_GBK"/>
          <w:color w:val="auto"/>
          <w:kern w:val="2"/>
          <w:sz w:val="30"/>
          <w:szCs w:val="30"/>
          <w:highlight w:val="none"/>
        </w:rPr>
        <w:t>9</w:t>
      </w:r>
      <w:r>
        <w:rPr>
          <w:rFonts w:hint="eastAsia" w:eastAsia="方正仿宋_GBK"/>
          <w:color w:val="auto"/>
          <w:kern w:val="2"/>
          <w:sz w:val="30"/>
          <w:szCs w:val="30"/>
          <w:highlight w:val="none"/>
        </w:rPr>
        <w:t>个Ⅱ型小城市，城镇体系扁平化特征明显</w:t>
      </w:r>
      <w:r>
        <w:rPr>
          <w:rFonts w:eastAsia="仿宋_GB2312"/>
          <w:color w:val="auto"/>
          <w:kern w:val="2"/>
          <w:sz w:val="30"/>
          <w:szCs w:val="30"/>
          <w:highlight w:val="none"/>
        </w:rPr>
        <w:t>。</w:t>
      </w:r>
    </w:p>
    <w:p w14:paraId="4CAE840E">
      <w:pPr>
        <w:pStyle w:val="5"/>
        <w:rPr>
          <w:color w:val="auto"/>
          <w:highlight w:val="none"/>
        </w:rPr>
      </w:pPr>
      <w:bookmarkStart w:id="36" w:name="_Toc131433145"/>
      <w:bookmarkStart w:id="37" w:name="_Toc131433311"/>
      <w:bookmarkStart w:id="38" w:name="_Toc184639363"/>
      <w:bookmarkStart w:id="39" w:name="_Toc1852"/>
      <w:r>
        <w:rPr>
          <w:color w:val="auto"/>
          <w:highlight w:val="none"/>
        </w:rPr>
        <w:t>第</w:t>
      </w:r>
      <w:r>
        <w:rPr>
          <w:rFonts w:hint="eastAsia"/>
          <w:color w:val="auto"/>
          <w:highlight w:val="none"/>
        </w:rPr>
        <w:t>二</w:t>
      </w:r>
      <w:r>
        <w:rPr>
          <w:color w:val="auto"/>
          <w:highlight w:val="none"/>
        </w:rPr>
        <w:t>节 成效与问题</w:t>
      </w:r>
      <w:bookmarkEnd w:id="36"/>
      <w:bookmarkEnd w:id="37"/>
      <w:bookmarkEnd w:id="38"/>
      <w:bookmarkEnd w:id="39"/>
    </w:p>
    <w:p w14:paraId="5E0CE0A1">
      <w:pPr>
        <w:pStyle w:val="6"/>
        <w:rPr>
          <w:color w:val="auto"/>
          <w:highlight w:val="none"/>
        </w:rPr>
      </w:pPr>
      <w:bookmarkStart w:id="40" w:name="_Toc73380322"/>
      <w:bookmarkStart w:id="41" w:name="_Toc73374528"/>
      <w:bookmarkStart w:id="42" w:name="_Toc73374921"/>
      <w:r>
        <w:rPr>
          <w:rFonts w:hint="eastAsia"/>
          <w:color w:val="auto"/>
          <w:highlight w:val="none"/>
        </w:rPr>
        <w:t xml:space="preserve">一、国土空间开发保护主要成效  </w:t>
      </w:r>
    </w:p>
    <w:p w14:paraId="2F126EA2">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农业发展更加夯实。</w:t>
      </w:r>
      <w:r>
        <w:rPr>
          <w:rFonts w:hint="eastAsia" w:eastAsia="方正仿宋_GBK"/>
          <w:color w:val="auto"/>
          <w:sz w:val="30"/>
          <w:szCs w:val="30"/>
          <w:highlight w:val="none"/>
        </w:rPr>
        <w:t>截至2020年，全州共划定粮食生产功能区和重要农产品生产保护区</w:t>
      </w:r>
      <w:r>
        <w:rPr>
          <w:rFonts w:eastAsia="方正仿宋_GBK"/>
          <w:color w:val="auto"/>
          <w:sz w:val="30"/>
          <w:szCs w:val="30"/>
          <w:highlight w:val="none"/>
        </w:rPr>
        <w:t>245</w:t>
      </w:r>
      <w:r>
        <w:rPr>
          <w:rFonts w:hint="eastAsia" w:eastAsia="方正仿宋_GBK"/>
          <w:color w:val="auto"/>
          <w:sz w:val="30"/>
          <w:szCs w:val="30"/>
          <w:highlight w:val="none"/>
        </w:rPr>
        <w:t>万亩，累计建成高标准农田</w:t>
      </w:r>
      <w:r>
        <w:rPr>
          <w:rFonts w:eastAsia="方正仿宋_GBK"/>
          <w:color w:val="auto"/>
          <w:sz w:val="30"/>
          <w:szCs w:val="30"/>
          <w:highlight w:val="none"/>
        </w:rPr>
        <w:t>137.47</w:t>
      </w:r>
      <w:r>
        <w:rPr>
          <w:rFonts w:hint="eastAsia" w:eastAsia="方正仿宋_GBK"/>
          <w:color w:val="auto"/>
          <w:sz w:val="30"/>
          <w:szCs w:val="30"/>
          <w:highlight w:val="none"/>
        </w:rPr>
        <w:t>万亩，严守永久基本农田保护面积</w:t>
      </w:r>
      <w:r>
        <w:rPr>
          <w:rFonts w:eastAsia="方正仿宋_GBK"/>
          <w:color w:val="auto"/>
          <w:sz w:val="30"/>
          <w:szCs w:val="30"/>
          <w:highlight w:val="none"/>
        </w:rPr>
        <w:t>357.42</w:t>
      </w:r>
      <w:r>
        <w:rPr>
          <w:rFonts w:hint="eastAsia" w:eastAsia="方正仿宋_GBK"/>
          <w:color w:val="auto"/>
          <w:sz w:val="30"/>
          <w:szCs w:val="30"/>
          <w:highlight w:val="none"/>
        </w:rPr>
        <w:t>万亩。“十三五”期间，粮食单产提高</w:t>
      </w:r>
      <w:r>
        <w:rPr>
          <w:rFonts w:eastAsia="方正仿宋_GBK"/>
          <w:color w:val="auto"/>
          <w:sz w:val="30"/>
          <w:szCs w:val="30"/>
          <w:highlight w:val="none"/>
        </w:rPr>
        <w:t>20.24</w:t>
      </w:r>
      <w:r>
        <w:rPr>
          <w:rFonts w:hint="eastAsia" w:eastAsia="方正仿宋_GBK"/>
          <w:color w:val="auto"/>
          <w:sz w:val="30"/>
          <w:szCs w:val="30"/>
          <w:highlight w:val="none"/>
        </w:rPr>
        <w:t>公斤，主要农作物耕种综合机械化水平提高</w:t>
      </w:r>
      <w:r>
        <w:rPr>
          <w:rFonts w:eastAsia="方正仿宋_GBK"/>
          <w:color w:val="auto"/>
          <w:sz w:val="30"/>
          <w:szCs w:val="30"/>
          <w:highlight w:val="none"/>
        </w:rPr>
        <w:t>7%</w:t>
      </w:r>
      <w:r>
        <w:rPr>
          <w:rFonts w:hint="eastAsia" w:eastAsia="方正仿宋_GBK"/>
          <w:color w:val="auto"/>
          <w:sz w:val="30"/>
          <w:szCs w:val="30"/>
          <w:highlight w:val="none"/>
        </w:rPr>
        <w:t>，全州有效灌溉面积</w:t>
      </w:r>
      <w:r>
        <w:rPr>
          <w:rFonts w:eastAsia="方正仿宋_GBK"/>
          <w:color w:val="auto"/>
          <w:sz w:val="30"/>
          <w:szCs w:val="30"/>
          <w:highlight w:val="none"/>
        </w:rPr>
        <w:t>177.04</w:t>
      </w:r>
      <w:r>
        <w:rPr>
          <w:rFonts w:hint="eastAsia" w:eastAsia="方正仿宋_GBK"/>
          <w:color w:val="auto"/>
          <w:sz w:val="30"/>
          <w:szCs w:val="30"/>
          <w:highlight w:val="none"/>
        </w:rPr>
        <w:t>万亩，节水灌溉面积</w:t>
      </w:r>
      <w:r>
        <w:rPr>
          <w:rFonts w:eastAsia="方正仿宋_GBK"/>
          <w:color w:val="auto"/>
          <w:sz w:val="30"/>
          <w:szCs w:val="30"/>
          <w:highlight w:val="none"/>
        </w:rPr>
        <w:t>150.03</w:t>
      </w:r>
      <w:r>
        <w:rPr>
          <w:rFonts w:hint="eastAsia" w:eastAsia="方正仿宋_GBK"/>
          <w:color w:val="auto"/>
          <w:sz w:val="30"/>
          <w:szCs w:val="30"/>
          <w:highlight w:val="none"/>
        </w:rPr>
        <w:t>万亩。建有</w:t>
      </w:r>
      <w:r>
        <w:rPr>
          <w:rFonts w:eastAsia="方正仿宋_GBK"/>
          <w:color w:val="auto"/>
          <w:sz w:val="30"/>
          <w:szCs w:val="30"/>
          <w:highlight w:val="none"/>
        </w:rPr>
        <w:t>2</w:t>
      </w:r>
      <w:r>
        <w:rPr>
          <w:rFonts w:hint="eastAsia" w:eastAsia="方正仿宋_GBK"/>
          <w:color w:val="auto"/>
          <w:sz w:val="30"/>
          <w:szCs w:val="30"/>
          <w:highlight w:val="none"/>
        </w:rPr>
        <w:t>个国家级、</w:t>
      </w:r>
      <w:r>
        <w:rPr>
          <w:rFonts w:eastAsia="方正仿宋_GBK"/>
          <w:color w:val="auto"/>
          <w:sz w:val="30"/>
          <w:szCs w:val="30"/>
          <w:highlight w:val="none"/>
        </w:rPr>
        <w:t>43</w:t>
      </w:r>
      <w:r>
        <w:rPr>
          <w:rFonts w:hint="eastAsia" w:eastAsia="方正仿宋_GBK"/>
          <w:color w:val="auto"/>
          <w:sz w:val="30"/>
          <w:szCs w:val="30"/>
          <w:highlight w:val="none"/>
        </w:rPr>
        <w:t>个省级现代种业试验站和</w:t>
      </w:r>
      <w:r>
        <w:rPr>
          <w:rFonts w:eastAsia="方正仿宋_GBK"/>
          <w:color w:val="auto"/>
          <w:sz w:val="30"/>
          <w:szCs w:val="30"/>
          <w:highlight w:val="none"/>
        </w:rPr>
        <w:t>5</w:t>
      </w:r>
      <w:r>
        <w:rPr>
          <w:rFonts w:hint="eastAsia" w:eastAsia="方正仿宋_GBK"/>
          <w:color w:val="auto"/>
          <w:sz w:val="30"/>
          <w:szCs w:val="30"/>
          <w:highlight w:val="none"/>
        </w:rPr>
        <w:t>个现代农业产业技术体系综合实验室。高原特色农业优势凸显，粮食连续五年丰产，</w:t>
      </w:r>
      <w:r>
        <w:rPr>
          <w:rFonts w:eastAsia="方正仿宋_GBK"/>
          <w:color w:val="auto"/>
          <w:sz w:val="30"/>
          <w:szCs w:val="30"/>
          <w:highlight w:val="none"/>
        </w:rPr>
        <w:t>2020</w:t>
      </w:r>
      <w:r>
        <w:rPr>
          <w:rFonts w:hint="eastAsia" w:eastAsia="方正仿宋_GBK"/>
          <w:color w:val="auto"/>
          <w:sz w:val="30"/>
          <w:szCs w:val="30"/>
          <w:highlight w:val="none"/>
        </w:rPr>
        <w:t>年粮食总产量达</w:t>
      </w:r>
      <w:r>
        <w:rPr>
          <w:rFonts w:eastAsia="方正仿宋_GBK"/>
          <w:color w:val="auto"/>
          <w:sz w:val="30"/>
          <w:szCs w:val="30"/>
          <w:highlight w:val="none"/>
        </w:rPr>
        <w:t>126.67</w:t>
      </w:r>
      <w:r>
        <w:rPr>
          <w:rFonts w:hint="eastAsia" w:eastAsia="方正仿宋_GBK"/>
          <w:color w:val="auto"/>
          <w:sz w:val="30"/>
          <w:szCs w:val="30"/>
          <w:highlight w:val="none"/>
        </w:rPr>
        <w:t>万吨；蔬菜产量和质量实现了</w:t>
      </w:r>
      <w:r>
        <w:rPr>
          <w:rFonts w:eastAsia="方正仿宋_GBK"/>
          <w:color w:val="auto"/>
          <w:sz w:val="30"/>
          <w:szCs w:val="30"/>
          <w:highlight w:val="none"/>
        </w:rPr>
        <w:t>“</w:t>
      </w:r>
      <w:r>
        <w:rPr>
          <w:rFonts w:hint="eastAsia" w:eastAsia="方正仿宋_GBK"/>
          <w:color w:val="auto"/>
          <w:sz w:val="30"/>
          <w:szCs w:val="30"/>
          <w:highlight w:val="none"/>
        </w:rPr>
        <w:t>双提升</w:t>
      </w:r>
      <w:r>
        <w:rPr>
          <w:rFonts w:eastAsia="方正仿宋_GBK"/>
          <w:color w:val="auto"/>
          <w:sz w:val="30"/>
          <w:szCs w:val="30"/>
          <w:highlight w:val="none"/>
        </w:rPr>
        <w:t>”</w:t>
      </w:r>
      <w:r>
        <w:rPr>
          <w:rFonts w:hint="eastAsia" w:eastAsia="方正仿宋_GBK"/>
          <w:color w:val="auto"/>
          <w:sz w:val="30"/>
          <w:szCs w:val="30"/>
          <w:highlight w:val="none"/>
        </w:rPr>
        <w:t>，全州蔬菜种植面积</w:t>
      </w:r>
      <w:r>
        <w:rPr>
          <w:rFonts w:eastAsia="方正仿宋_GBK"/>
          <w:color w:val="auto"/>
          <w:sz w:val="30"/>
          <w:szCs w:val="30"/>
          <w:highlight w:val="none"/>
        </w:rPr>
        <w:t>154.80</w:t>
      </w:r>
      <w:r>
        <w:rPr>
          <w:rFonts w:hint="eastAsia" w:eastAsia="方正仿宋_GBK"/>
          <w:color w:val="auto"/>
          <w:sz w:val="30"/>
          <w:szCs w:val="30"/>
          <w:highlight w:val="none"/>
        </w:rPr>
        <w:t>万亩，是全省最大的冬早蔬菜生产区和外销地</w:t>
      </w:r>
      <w:r>
        <w:rPr>
          <w:rFonts w:eastAsia="方正仿宋_GBK"/>
          <w:color w:val="auto"/>
          <w:sz w:val="30"/>
          <w:szCs w:val="30"/>
          <w:highlight w:val="none"/>
        </w:rPr>
        <w:t>。</w:t>
      </w:r>
    </w:p>
    <w:p w14:paraId="712B1723">
      <w:pPr>
        <w:ind w:firstLine="600"/>
        <w:rPr>
          <w:color w:val="auto"/>
          <w:sz w:val="30"/>
          <w:szCs w:val="30"/>
          <w:highlight w:val="none"/>
        </w:rPr>
      </w:pPr>
      <w:r>
        <w:rPr>
          <w:rFonts w:hint="eastAsia" w:ascii="方正楷体_GBK" w:eastAsia="方正楷体_GBK"/>
          <w:color w:val="auto"/>
          <w:sz w:val="30"/>
          <w:szCs w:val="30"/>
          <w:highlight w:val="none"/>
        </w:rPr>
        <w:t>生态安全更加稳固。</w:t>
      </w:r>
      <w:r>
        <w:rPr>
          <w:rFonts w:hint="eastAsia" w:eastAsia="方正仿宋_GBK"/>
          <w:color w:val="auto"/>
          <w:sz w:val="30"/>
          <w:szCs w:val="30"/>
          <w:highlight w:val="none"/>
        </w:rPr>
        <w:t>以南部哀牢山、北部百草岭山及金沙江、元江干热河谷地带为核心的生物多样性保护得到持续加强，生态安全屏障愈加牢固，国家重点保护野生动植物种数保护率达92</w:t>
      </w:r>
      <w:r>
        <w:rPr>
          <w:rFonts w:eastAsia="方正仿宋_GBK"/>
          <w:color w:val="auto"/>
          <w:sz w:val="30"/>
          <w:szCs w:val="30"/>
          <w:highlight w:val="none"/>
        </w:rPr>
        <w:t>%</w:t>
      </w:r>
      <w:r>
        <w:rPr>
          <w:rFonts w:hint="eastAsia" w:eastAsia="方正仿宋_GBK"/>
          <w:color w:val="auto"/>
          <w:sz w:val="30"/>
          <w:szCs w:val="30"/>
          <w:highlight w:val="none"/>
        </w:rPr>
        <w:t>。生态环境质量持续改善，</w:t>
      </w:r>
      <w:r>
        <w:rPr>
          <w:rFonts w:eastAsia="方正仿宋_GBK"/>
          <w:color w:val="auto"/>
          <w:sz w:val="30"/>
          <w:szCs w:val="30"/>
          <w:highlight w:val="none"/>
        </w:rPr>
        <w:t>2020</w:t>
      </w:r>
      <w:r>
        <w:rPr>
          <w:rFonts w:hint="eastAsia" w:eastAsia="方正仿宋_GBK"/>
          <w:color w:val="auto"/>
          <w:sz w:val="30"/>
          <w:szCs w:val="30"/>
          <w:highlight w:val="none"/>
        </w:rPr>
        <w:t>年城市空气优良天数比例为</w:t>
      </w:r>
      <w:r>
        <w:rPr>
          <w:rFonts w:eastAsia="方正仿宋_GBK"/>
          <w:color w:val="auto"/>
          <w:sz w:val="30"/>
          <w:szCs w:val="30"/>
          <w:highlight w:val="none"/>
        </w:rPr>
        <w:t>100%</w:t>
      </w:r>
      <w:r>
        <w:rPr>
          <w:rFonts w:hint="eastAsia" w:eastAsia="方正仿宋_GBK"/>
          <w:color w:val="auto"/>
          <w:sz w:val="30"/>
          <w:szCs w:val="30"/>
          <w:highlight w:val="none"/>
        </w:rPr>
        <w:t>，</w:t>
      </w:r>
      <w:r>
        <w:rPr>
          <w:rFonts w:eastAsia="方正仿宋_GBK"/>
          <w:color w:val="auto"/>
          <w:sz w:val="30"/>
          <w:szCs w:val="30"/>
          <w:highlight w:val="none"/>
        </w:rPr>
        <w:t>PM2.5</w:t>
      </w:r>
      <w:r>
        <w:rPr>
          <w:rFonts w:hint="eastAsia" w:eastAsia="方正仿宋_GBK"/>
          <w:color w:val="auto"/>
          <w:sz w:val="30"/>
          <w:szCs w:val="30"/>
          <w:highlight w:val="none"/>
        </w:rPr>
        <w:t>浓度持续下降。河长制全面实施，</w:t>
      </w:r>
      <w:r>
        <w:rPr>
          <w:rFonts w:eastAsia="方正仿宋_GBK"/>
          <w:color w:val="auto"/>
          <w:sz w:val="30"/>
          <w:szCs w:val="30"/>
          <w:highlight w:val="none"/>
        </w:rPr>
        <w:t>2020</w:t>
      </w:r>
      <w:r>
        <w:rPr>
          <w:rFonts w:hint="eastAsia" w:eastAsia="方正仿宋_GBK"/>
          <w:color w:val="auto"/>
          <w:sz w:val="30"/>
          <w:szCs w:val="30"/>
          <w:highlight w:val="none"/>
        </w:rPr>
        <w:t>年，楚雄州共</w:t>
      </w:r>
      <w:r>
        <w:rPr>
          <w:rFonts w:eastAsia="方正仿宋_GBK"/>
          <w:color w:val="auto"/>
          <w:sz w:val="30"/>
          <w:szCs w:val="30"/>
          <w:highlight w:val="none"/>
        </w:rPr>
        <w:t>25</w:t>
      </w:r>
      <w:r>
        <w:rPr>
          <w:rFonts w:hint="eastAsia" w:eastAsia="方正仿宋_GBK"/>
          <w:color w:val="auto"/>
          <w:sz w:val="30"/>
          <w:szCs w:val="30"/>
          <w:highlight w:val="none"/>
        </w:rPr>
        <w:t>个国控、省控水质监测断面，其中</w:t>
      </w:r>
      <w:r>
        <w:rPr>
          <w:rFonts w:eastAsia="方正仿宋_GBK"/>
          <w:color w:val="auto"/>
          <w:sz w:val="30"/>
          <w:szCs w:val="30"/>
          <w:highlight w:val="none"/>
        </w:rPr>
        <w:t>24</w:t>
      </w:r>
      <w:r>
        <w:rPr>
          <w:rFonts w:hint="eastAsia" w:eastAsia="方正仿宋_GBK"/>
          <w:color w:val="auto"/>
          <w:sz w:val="30"/>
          <w:szCs w:val="30"/>
          <w:highlight w:val="none"/>
        </w:rPr>
        <w:t>个水质达到水功能区要求。低碳发展初见成效，单位</w:t>
      </w:r>
      <w:r>
        <w:rPr>
          <w:rFonts w:eastAsia="方正仿宋_GBK"/>
          <w:color w:val="auto"/>
          <w:sz w:val="30"/>
          <w:szCs w:val="30"/>
          <w:highlight w:val="none"/>
        </w:rPr>
        <w:t>GDP</w:t>
      </w:r>
      <w:r>
        <w:rPr>
          <w:rFonts w:hint="eastAsia" w:eastAsia="方正仿宋_GBK"/>
          <w:color w:val="auto"/>
          <w:sz w:val="30"/>
          <w:szCs w:val="30"/>
          <w:highlight w:val="none"/>
        </w:rPr>
        <w:t>能耗、单位</w:t>
      </w:r>
      <w:r>
        <w:rPr>
          <w:rFonts w:eastAsia="方正仿宋_GBK"/>
          <w:color w:val="auto"/>
          <w:sz w:val="30"/>
          <w:szCs w:val="30"/>
          <w:highlight w:val="none"/>
        </w:rPr>
        <w:t>GDP</w:t>
      </w:r>
      <w:r>
        <w:rPr>
          <w:rFonts w:hint="eastAsia" w:eastAsia="方正仿宋_GBK"/>
          <w:color w:val="auto"/>
          <w:sz w:val="30"/>
          <w:szCs w:val="30"/>
          <w:highlight w:val="none"/>
        </w:rPr>
        <w:t>水耗、污染物排放强度呈逐年下降趋势</w:t>
      </w:r>
      <w:r>
        <w:rPr>
          <w:rFonts w:eastAsia="方正仿宋_GBK"/>
          <w:color w:val="auto"/>
          <w:sz w:val="30"/>
          <w:szCs w:val="30"/>
          <w:highlight w:val="none"/>
        </w:rPr>
        <w:t>。</w:t>
      </w:r>
    </w:p>
    <w:p w14:paraId="1D239533">
      <w:pPr>
        <w:ind w:firstLine="600"/>
        <w:rPr>
          <w:color w:val="auto"/>
          <w:sz w:val="30"/>
          <w:szCs w:val="30"/>
          <w:highlight w:val="none"/>
        </w:rPr>
      </w:pPr>
      <w:r>
        <w:rPr>
          <w:rFonts w:hint="eastAsia" w:ascii="方正楷体_GBK" w:eastAsia="方正楷体_GBK"/>
          <w:color w:val="auto"/>
          <w:sz w:val="30"/>
          <w:szCs w:val="30"/>
          <w:highlight w:val="none"/>
        </w:rPr>
        <w:t>城镇化发展更加明显。</w:t>
      </w:r>
      <w:r>
        <w:rPr>
          <w:rFonts w:hint="eastAsia" w:eastAsia="方正仿宋_GBK"/>
          <w:color w:val="auto"/>
          <w:sz w:val="30"/>
          <w:szCs w:val="30"/>
          <w:highlight w:val="none"/>
        </w:rPr>
        <w:t>城镇化迈入加速发展阶段，以人为核心的新型城镇化战略稳步推进，农业转移人口市民化程度逐年提升，常住人口城镇化率由</w:t>
      </w:r>
      <w:r>
        <w:rPr>
          <w:rFonts w:eastAsia="方正仿宋_GBK"/>
          <w:color w:val="auto"/>
          <w:sz w:val="30"/>
          <w:szCs w:val="30"/>
          <w:highlight w:val="none"/>
        </w:rPr>
        <w:t>2010</w:t>
      </w:r>
      <w:r>
        <w:rPr>
          <w:rFonts w:hint="eastAsia" w:eastAsia="方正仿宋_GBK"/>
          <w:color w:val="auto"/>
          <w:sz w:val="30"/>
          <w:szCs w:val="30"/>
          <w:highlight w:val="none"/>
        </w:rPr>
        <w:t>年的</w:t>
      </w:r>
      <w:r>
        <w:rPr>
          <w:rFonts w:eastAsia="方正仿宋_GBK"/>
          <w:color w:val="auto"/>
          <w:sz w:val="30"/>
          <w:szCs w:val="30"/>
          <w:highlight w:val="none"/>
        </w:rPr>
        <w:t>31.48%</w:t>
      </w:r>
      <w:r>
        <w:rPr>
          <w:rFonts w:hint="eastAsia" w:eastAsia="方正仿宋_GBK"/>
          <w:color w:val="auto"/>
          <w:sz w:val="30"/>
          <w:szCs w:val="30"/>
          <w:highlight w:val="none"/>
        </w:rPr>
        <w:t>上升至2020年的</w:t>
      </w:r>
      <w:r>
        <w:rPr>
          <w:rFonts w:eastAsia="方正仿宋_GBK"/>
          <w:color w:val="auto"/>
          <w:sz w:val="30"/>
          <w:szCs w:val="30"/>
          <w:highlight w:val="none"/>
        </w:rPr>
        <w:t>44.82%</w:t>
      </w:r>
      <w:r>
        <w:rPr>
          <w:rFonts w:hint="eastAsia" w:eastAsia="方正仿宋_GBK"/>
          <w:color w:val="auto"/>
          <w:sz w:val="30"/>
          <w:szCs w:val="30"/>
          <w:highlight w:val="none"/>
        </w:rPr>
        <w:t>。主动融入滇中城市群一体化建设，以城镇圈、城镇组团发展为主体的城镇格局初见雏形，城镇发展动能显著增强，城镇综合承载能力不断增强，楚雄市、禄丰市核心引领作用显著增强，城乡风貌塑造初见成效，城镇品质明显提升。节约集约用地成效明显，单位国内生产总值建设用地使用面积由</w:t>
      </w:r>
      <w:r>
        <w:rPr>
          <w:rFonts w:eastAsia="方正仿宋_GBK"/>
          <w:color w:val="auto"/>
          <w:sz w:val="30"/>
          <w:szCs w:val="30"/>
          <w:highlight w:val="none"/>
        </w:rPr>
        <w:t>2010</w:t>
      </w:r>
      <w:r>
        <w:rPr>
          <w:rFonts w:hint="eastAsia" w:eastAsia="方正仿宋_GBK"/>
          <w:color w:val="auto"/>
          <w:sz w:val="30"/>
          <w:szCs w:val="30"/>
          <w:highlight w:val="none"/>
        </w:rPr>
        <w:t>年的</w:t>
      </w:r>
      <w:r>
        <w:rPr>
          <w:rFonts w:eastAsia="方正仿宋_GBK"/>
          <w:color w:val="auto"/>
          <w:sz w:val="30"/>
          <w:szCs w:val="30"/>
          <w:highlight w:val="none"/>
        </w:rPr>
        <w:t>176.97</w:t>
      </w:r>
      <w:r>
        <w:rPr>
          <w:rFonts w:hint="eastAsia" w:eastAsia="方正仿宋_GBK"/>
          <w:color w:val="auto"/>
          <w:sz w:val="30"/>
          <w:szCs w:val="30"/>
          <w:highlight w:val="none"/>
        </w:rPr>
        <w:t>平方米下降至</w:t>
      </w:r>
      <w:r>
        <w:rPr>
          <w:rFonts w:eastAsia="方正仿宋_GBK"/>
          <w:color w:val="auto"/>
          <w:sz w:val="30"/>
          <w:szCs w:val="30"/>
          <w:highlight w:val="none"/>
        </w:rPr>
        <w:t>2020</w:t>
      </w:r>
      <w:r>
        <w:rPr>
          <w:rFonts w:hint="eastAsia" w:eastAsia="方正仿宋_GBK"/>
          <w:color w:val="auto"/>
          <w:sz w:val="30"/>
          <w:szCs w:val="30"/>
          <w:highlight w:val="none"/>
        </w:rPr>
        <w:t>年的</w:t>
      </w:r>
      <w:r>
        <w:rPr>
          <w:rFonts w:eastAsia="方正仿宋_GBK"/>
          <w:color w:val="auto"/>
          <w:sz w:val="30"/>
          <w:szCs w:val="30"/>
          <w:highlight w:val="none"/>
        </w:rPr>
        <w:t>64.59</w:t>
      </w:r>
      <w:r>
        <w:rPr>
          <w:rFonts w:hint="eastAsia" w:eastAsia="方正仿宋_GBK"/>
          <w:color w:val="auto"/>
          <w:sz w:val="30"/>
          <w:szCs w:val="30"/>
          <w:highlight w:val="none"/>
        </w:rPr>
        <w:t>平方米，人均城镇建设用地由</w:t>
      </w:r>
      <w:r>
        <w:rPr>
          <w:rFonts w:eastAsia="方正仿宋_GBK"/>
          <w:color w:val="auto"/>
          <w:sz w:val="30"/>
          <w:szCs w:val="30"/>
          <w:highlight w:val="none"/>
        </w:rPr>
        <w:t>2010</w:t>
      </w:r>
      <w:r>
        <w:rPr>
          <w:rFonts w:hint="eastAsia" w:eastAsia="方正仿宋_GBK"/>
          <w:color w:val="auto"/>
          <w:sz w:val="30"/>
          <w:szCs w:val="30"/>
          <w:highlight w:val="none"/>
        </w:rPr>
        <w:t>年的</w:t>
      </w:r>
      <w:r>
        <w:rPr>
          <w:rFonts w:eastAsia="方正仿宋_GBK"/>
          <w:color w:val="auto"/>
          <w:sz w:val="30"/>
          <w:szCs w:val="30"/>
          <w:highlight w:val="none"/>
        </w:rPr>
        <w:t>201.37</w:t>
      </w:r>
      <w:r>
        <w:rPr>
          <w:rFonts w:hint="eastAsia" w:eastAsia="方正仿宋_GBK"/>
          <w:color w:val="auto"/>
          <w:sz w:val="30"/>
          <w:szCs w:val="30"/>
          <w:highlight w:val="none"/>
        </w:rPr>
        <w:t>平方米下降至</w:t>
      </w:r>
      <w:r>
        <w:rPr>
          <w:rFonts w:eastAsia="方正仿宋_GBK"/>
          <w:color w:val="auto"/>
          <w:sz w:val="30"/>
          <w:szCs w:val="30"/>
          <w:highlight w:val="none"/>
        </w:rPr>
        <w:t>2020</w:t>
      </w:r>
      <w:r>
        <w:rPr>
          <w:rFonts w:hint="eastAsia" w:eastAsia="方正仿宋_GBK"/>
          <w:color w:val="auto"/>
          <w:sz w:val="30"/>
          <w:szCs w:val="30"/>
          <w:highlight w:val="none"/>
        </w:rPr>
        <w:t>年的</w:t>
      </w:r>
      <w:r>
        <w:rPr>
          <w:rFonts w:eastAsia="方正仿宋_GBK"/>
          <w:color w:val="auto"/>
          <w:sz w:val="30"/>
          <w:szCs w:val="30"/>
          <w:highlight w:val="none"/>
        </w:rPr>
        <w:t>116.81</w:t>
      </w:r>
      <w:r>
        <w:rPr>
          <w:rFonts w:hint="eastAsia" w:eastAsia="方正仿宋_GBK"/>
          <w:color w:val="auto"/>
          <w:sz w:val="30"/>
          <w:szCs w:val="30"/>
          <w:highlight w:val="none"/>
        </w:rPr>
        <w:t>平方米。</w:t>
      </w:r>
    </w:p>
    <w:p w14:paraId="791F8630">
      <w:pPr>
        <w:pStyle w:val="6"/>
        <w:rPr>
          <w:color w:val="auto"/>
          <w:highlight w:val="none"/>
        </w:rPr>
      </w:pPr>
      <w:r>
        <w:rPr>
          <w:color w:val="auto"/>
          <w:highlight w:val="none"/>
        </w:rPr>
        <w:t xml:space="preserve">二、存在的主要问题  </w:t>
      </w:r>
    </w:p>
    <w:p w14:paraId="496BD646">
      <w:pPr>
        <w:pStyle w:val="29"/>
        <w:overflowPunct w:val="0"/>
        <w:spacing w:beforeAutospacing="0" w:afterAutospacing="0" w:line="600" w:lineRule="exact"/>
        <w:ind w:firstLine="600" w:firstLineChars="200"/>
        <w:jc w:val="both"/>
        <w:rPr>
          <w:rFonts w:eastAsia="仿宋_GB2312"/>
          <w:color w:val="auto"/>
          <w:kern w:val="2"/>
          <w:sz w:val="30"/>
          <w:szCs w:val="30"/>
          <w:highlight w:val="none"/>
        </w:rPr>
      </w:pPr>
      <w:r>
        <w:rPr>
          <w:rFonts w:hint="eastAsia" w:ascii="方正楷体_GBK" w:eastAsia="方正楷体_GBK"/>
          <w:color w:val="auto"/>
          <w:kern w:val="2"/>
          <w:sz w:val="30"/>
          <w:szCs w:val="30"/>
          <w:highlight w:val="none"/>
        </w:rPr>
        <w:t>空间资源配置尚不稳固。</w:t>
      </w:r>
      <w:r>
        <w:rPr>
          <w:rFonts w:eastAsia="方正仿宋_GBK"/>
          <w:color w:val="auto"/>
          <w:kern w:val="2"/>
          <w:sz w:val="30"/>
          <w:szCs w:val="30"/>
          <w:highlight w:val="none"/>
        </w:rPr>
        <w:t>水资源时空分布不均，人均水资源量偏小，供需矛盾突出，水利基础设施建设薄弱，流域、工业园区、特色农业区等区域性、综合性骨干水利工程网建设仍然滞后，区域互补、流域相济、丰枯调剂、多源互补、多线连通的水资源配置格局尚未形成，资源性和工程性缺水问题突出。部分河流水质持续提升难度大，蜻蛉河—王家桥断面水质尚未达标，金沙江永兴段、礼社江、马龙河、勐岗河和勐果河等部分流域水土流失治理任务仍然繁重。耕地保护形势严峻，耕地破碎化、“非粮化”等矛盾突出，近十年，全州耕地减少48.31万亩，减少的耕地主要流向园地和林地，坡耕地占比高，15度以上坡耕地占44.77%（25度以上占16.54%），耕地集中连片度不高，50亩以下的耕地斑块数量占比92.64%，面积占比49.42%。生物栖息地连通性不高，生态系统的空间连通性不强。</w:t>
      </w:r>
    </w:p>
    <w:p w14:paraId="49081891">
      <w:pPr>
        <w:pStyle w:val="29"/>
        <w:overflowPunct w:val="0"/>
        <w:spacing w:beforeAutospacing="0" w:afterAutospacing="0" w:line="600" w:lineRule="exact"/>
        <w:ind w:firstLine="600" w:firstLineChars="200"/>
        <w:jc w:val="both"/>
        <w:rPr>
          <w:rFonts w:eastAsia="楷体"/>
          <w:color w:val="auto"/>
          <w:kern w:val="2"/>
          <w:sz w:val="30"/>
          <w:szCs w:val="30"/>
          <w:highlight w:val="none"/>
        </w:rPr>
      </w:pPr>
      <w:r>
        <w:rPr>
          <w:rFonts w:hint="eastAsia" w:ascii="方正楷体_GBK" w:eastAsia="方正楷体_GBK"/>
          <w:color w:val="auto"/>
          <w:kern w:val="2"/>
          <w:sz w:val="30"/>
          <w:szCs w:val="30"/>
          <w:highlight w:val="none"/>
        </w:rPr>
        <w:t>空间品质效率不高。</w:t>
      </w:r>
      <w:r>
        <w:rPr>
          <w:rFonts w:eastAsia="方正仿宋_GBK"/>
          <w:color w:val="auto"/>
          <w:kern w:val="2"/>
          <w:sz w:val="30"/>
          <w:szCs w:val="30"/>
          <w:highlight w:val="none"/>
        </w:rPr>
        <w:t>耕地碎片化造成农业生产效率不高，全州高标准农田仅占耕地的27.57%。耕地有效灌溉率仅为36.54%，低于全省平均水平（44.2%）7.66个百分点，农业基础设施配置较弱。空间集约集聚水平不高，城镇规模偏小，城镇聚集、辐射、带动能力偏弱，一体化发展程度不够，产业集聚发展程度不高，产业结构趋同。土地节约集约利用程度不高，农村人均建设用地高于全省平均水平，城乡风貌特色不突出。</w:t>
      </w:r>
    </w:p>
    <w:p w14:paraId="56A3440C">
      <w:pPr>
        <w:pStyle w:val="29"/>
        <w:overflowPunct w:val="0"/>
        <w:spacing w:beforeAutospacing="0" w:afterAutospacing="0" w:line="600" w:lineRule="exact"/>
        <w:ind w:firstLine="600" w:firstLineChars="200"/>
        <w:jc w:val="both"/>
        <w:rPr>
          <w:rFonts w:eastAsia="仿宋_GB2312"/>
          <w:color w:val="auto"/>
          <w:kern w:val="2"/>
          <w:sz w:val="30"/>
          <w:szCs w:val="30"/>
          <w:highlight w:val="none"/>
        </w:rPr>
      </w:pPr>
      <w:r>
        <w:rPr>
          <w:rFonts w:hint="eastAsia" w:ascii="方正楷体_GBK" w:eastAsia="方正楷体_GBK"/>
          <w:color w:val="auto"/>
          <w:kern w:val="2"/>
          <w:sz w:val="30"/>
          <w:szCs w:val="30"/>
          <w:highlight w:val="none"/>
        </w:rPr>
        <w:t>空间联动性不足。</w:t>
      </w:r>
      <w:r>
        <w:rPr>
          <w:rFonts w:eastAsia="方正仿宋_GBK"/>
          <w:color w:val="auto"/>
          <w:kern w:val="2"/>
          <w:sz w:val="30"/>
          <w:szCs w:val="30"/>
          <w:highlight w:val="none"/>
        </w:rPr>
        <w:t>南北向交通短板仍然存在，全州“能通全通”和骨干路网“互联互通”建设步伐有待加快，空间协调性有待提升，楚雄州与南部玉溪市、普洱市的联系通道仅有G227和G357，高速公路骨架网还未形成，向北仅有G227与G5京昆高速衔接，快速连通能力有限，南北向互联互通还有差距。发展轴线单一，全州72%的地区生产总值和68%的人口都集中于东西向昆楚经济带沿线，南北向经济带尚未形成，辐射带动能力偏弱。基础设施短板依然存在，滇中城市群城际交通建设有待加强，滇中环线连通格局尚未形成，高速公路通车里程仅占公路通车里程的2.50%，50户以上自然村通硬化路尚未实现全覆盖，铁路网络规模不足，仍有5个县未通铁路，水路运输通道不畅，航道等级偏低，优势和潜力尚未充分发挥，新型基础设施建设相对滞后。</w:t>
      </w:r>
    </w:p>
    <w:bookmarkEnd w:id="40"/>
    <w:bookmarkEnd w:id="41"/>
    <w:bookmarkEnd w:id="42"/>
    <w:p w14:paraId="5076643D">
      <w:pPr>
        <w:pStyle w:val="5"/>
        <w:rPr>
          <w:color w:val="auto"/>
          <w:highlight w:val="none"/>
        </w:rPr>
      </w:pPr>
      <w:bookmarkStart w:id="43" w:name="_Toc184639364"/>
      <w:bookmarkStart w:id="44" w:name="_Toc131433146"/>
      <w:bookmarkStart w:id="45" w:name="_Toc14692"/>
      <w:bookmarkStart w:id="46" w:name="_Toc131433312"/>
      <w:r>
        <w:rPr>
          <w:color w:val="auto"/>
          <w:highlight w:val="none"/>
        </w:rPr>
        <w:t>第</w:t>
      </w:r>
      <w:r>
        <w:rPr>
          <w:rFonts w:hint="eastAsia"/>
          <w:color w:val="auto"/>
          <w:highlight w:val="none"/>
        </w:rPr>
        <w:t>三</w:t>
      </w:r>
      <w:r>
        <w:rPr>
          <w:color w:val="auto"/>
          <w:highlight w:val="none"/>
        </w:rPr>
        <w:t>节 机遇与挑战</w:t>
      </w:r>
      <w:bookmarkEnd w:id="43"/>
      <w:bookmarkEnd w:id="44"/>
      <w:bookmarkEnd w:id="45"/>
      <w:bookmarkEnd w:id="46"/>
    </w:p>
    <w:p w14:paraId="68F056DE">
      <w:pPr>
        <w:ind w:firstLine="600"/>
        <w:rPr>
          <w:color w:val="auto"/>
          <w:sz w:val="30"/>
          <w:szCs w:val="30"/>
          <w:highlight w:val="none"/>
        </w:rPr>
      </w:pPr>
      <w:r>
        <w:rPr>
          <w:rFonts w:ascii="方正楷体_GBK" w:eastAsia="方正楷体_GBK"/>
          <w:color w:val="auto"/>
          <w:sz w:val="30"/>
          <w:szCs w:val="30"/>
          <w:highlight w:val="none"/>
        </w:rPr>
        <w:t>国家、省级重大战略的推进实施，</w:t>
      </w:r>
      <w:r>
        <w:rPr>
          <w:rFonts w:hint="eastAsia" w:ascii="方正楷体_GBK" w:eastAsia="方正楷体_GBK"/>
          <w:color w:val="auto"/>
          <w:sz w:val="30"/>
          <w:szCs w:val="30"/>
          <w:highlight w:val="none"/>
        </w:rPr>
        <w:t>为</w:t>
      </w:r>
      <w:r>
        <w:rPr>
          <w:rFonts w:ascii="方正楷体_GBK" w:eastAsia="方正楷体_GBK"/>
          <w:color w:val="auto"/>
          <w:sz w:val="30"/>
          <w:szCs w:val="30"/>
          <w:highlight w:val="none"/>
        </w:rPr>
        <w:t>楚雄州推动高质量发展带来发展机遇。</w:t>
      </w:r>
      <w:r>
        <w:rPr>
          <w:rFonts w:eastAsia="方正仿宋_GBK"/>
          <w:color w:val="auto"/>
          <w:sz w:val="30"/>
          <w:szCs w:val="30"/>
          <w:highlight w:val="none"/>
        </w:rPr>
        <w:t>党的二十大报告提出构建优势互补、高质量发展的区域经济布局和国土空间体系，随着国家</w:t>
      </w:r>
      <w:r>
        <w:rPr>
          <w:rFonts w:hint="eastAsia" w:eastAsia="方正仿宋_GBK"/>
          <w:color w:val="auto"/>
          <w:sz w:val="30"/>
          <w:szCs w:val="30"/>
          <w:highlight w:val="none"/>
        </w:rPr>
        <w:t>“</w:t>
      </w:r>
      <w:r>
        <w:rPr>
          <w:rFonts w:eastAsia="方正仿宋_GBK"/>
          <w:color w:val="auto"/>
          <w:sz w:val="30"/>
          <w:szCs w:val="30"/>
          <w:highlight w:val="none"/>
        </w:rPr>
        <w:t>一带一路</w:t>
      </w:r>
      <w:r>
        <w:rPr>
          <w:rFonts w:hint="eastAsia" w:eastAsia="方正仿宋_GBK"/>
          <w:color w:val="auto"/>
          <w:sz w:val="30"/>
          <w:szCs w:val="30"/>
          <w:highlight w:val="none"/>
        </w:rPr>
        <w:t>”</w:t>
      </w:r>
      <w:r>
        <w:rPr>
          <w:rFonts w:eastAsia="方正仿宋_GBK"/>
          <w:color w:val="auto"/>
          <w:sz w:val="30"/>
          <w:szCs w:val="30"/>
          <w:highlight w:val="none"/>
        </w:rPr>
        <w:t>建设、长江经济带发展和云南省</w:t>
      </w:r>
      <w:r>
        <w:rPr>
          <w:rFonts w:hint="eastAsia" w:eastAsia="方正仿宋_GBK"/>
          <w:color w:val="auto"/>
          <w:sz w:val="30"/>
          <w:szCs w:val="30"/>
          <w:highlight w:val="none"/>
        </w:rPr>
        <w:t>“</w:t>
      </w:r>
      <w:r>
        <w:rPr>
          <w:rFonts w:eastAsia="方正仿宋_GBK"/>
          <w:color w:val="auto"/>
          <w:sz w:val="30"/>
          <w:szCs w:val="30"/>
          <w:highlight w:val="none"/>
        </w:rPr>
        <w:t>3815</w:t>
      </w:r>
      <w:r>
        <w:rPr>
          <w:rFonts w:hint="eastAsia" w:eastAsia="方正仿宋_GBK"/>
          <w:color w:val="auto"/>
          <w:sz w:val="30"/>
          <w:szCs w:val="30"/>
          <w:highlight w:val="none"/>
        </w:rPr>
        <w:t>”</w:t>
      </w:r>
      <w:r>
        <w:rPr>
          <w:rFonts w:eastAsia="方正仿宋_GBK"/>
          <w:color w:val="auto"/>
          <w:sz w:val="30"/>
          <w:szCs w:val="30"/>
          <w:highlight w:val="none"/>
        </w:rPr>
        <w:t>战略等重大战略的推进实施，为楚雄州高质量跨越式发展指明新方向</w:t>
      </w:r>
      <w:r>
        <w:rPr>
          <w:rFonts w:hint="eastAsia" w:eastAsia="方正仿宋_GBK"/>
          <w:color w:val="auto"/>
          <w:sz w:val="30"/>
          <w:szCs w:val="30"/>
          <w:highlight w:val="none"/>
        </w:rPr>
        <w:t>；</w:t>
      </w:r>
      <w:r>
        <w:rPr>
          <w:rFonts w:eastAsia="方正仿宋_GBK"/>
          <w:color w:val="auto"/>
          <w:sz w:val="30"/>
          <w:szCs w:val="30"/>
          <w:highlight w:val="none"/>
        </w:rPr>
        <w:t>主动服务和融入全国全省发展战略，为统筹发展和安全、统筹耕地保护数量和质量、统筹生态保护和资源节约集约利用、统筹城乡和区域协调发展等提供总遵循；为全州空间格局优化、空间要素配置、空间品质提升等指明了路径。随着新型城镇化、乡村振兴等系列重要政策的贯彻落实，主动参与滇中城市群建设，为绿美楚雄、城市建设、乡村振兴等方面的发展带来新机遇。</w:t>
      </w:r>
    </w:p>
    <w:p w14:paraId="67417343">
      <w:pPr>
        <w:ind w:firstLine="600"/>
        <w:rPr>
          <w:rFonts w:eastAsia="楷体"/>
          <w:color w:val="auto"/>
          <w:sz w:val="30"/>
          <w:szCs w:val="30"/>
          <w:highlight w:val="none"/>
        </w:rPr>
      </w:pPr>
      <w:r>
        <w:rPr>
          <w:rFonts w:hint="eastAsia" w:ascii="方正楷体_GBK" w:eastAsia="方正楷体_GBK"/>
          <w:color w:val="auto"/>
          <w:sz w:val="30"/>
          <w:szCs w:val="30"/>
          <w:highlight w:val="none"/>
        </w:rPr>
        <w:t>技术升级为国土空间重构创造新条件。</w:t>
      </w:r>
      <w:r>
        <w:rPr>
          <w:rFonts w:hint="eastAsia" w:eastAsia="方正仿宋_GBK"/>
          <w:color w:val="auto"/>
          <w:sz w:val="30"/>
          <w:szCs w:val="30"/>
          <w:highlight w:val="none"/>
        </w:rPr>
        <w:t>国家实施创新驱动发展战略，以</w:t>
      </w:r>
      <w:r>
        <w:rPr>
          <w:rFonts w:eastAsia="方正仿宋_GBK"/>
          <w:color w:val="auto"/>
          <w:sz w:val="30"/>
          <w:szCs w:val="30"/>
          <w:highlight w:val="none"/>
        </w:rPr>
        <w:t>5G</w:t>
      </w:r>
      <w:r>
        <w:rPr>
          <w:rFonts w:hint="eastAsia" w:eastAsia="方正仿宋_GBK"/>
          <w:color w:val="auto"/>
          <w:sz w:val="30"/>
          <w:szCs w:val="30"/>
          <w:highlight w:val="none"/>
        </w:rPr>
        <w:t>技术、人工智能、物联网、大数据、数字经济、数字孪生、区块链为代表的新一代信息技术广泛而深入地渗透到经济社会的各个领域，赋能国土空间治理，将打破传统时空格局，将改变水、土地、产业、人口等多种要素的空间逻辑和空间开发秩序，将推动城镇空间、乡村空间、生产方式、交通物流网络和基础设施系统的空间重构，将改善自然地理格局造成的交通联络困境，将推进人本、技术、数据的协调发展新模式，将形成以</w:t>
      </w:r>
      <w:r>
        <w:rPr>
          <w:rFonts w:eastAsia="方正仿宋_GBK"/>
          <w:color w:val="auto"/>
          <w:sz w:val="30"/>
          <w:szCs w:val="30"/>
          <w:highlight w:val="none"/>
        </w:rPr>
        <w:t>“</w:t>
      </w:r>
      <w:r>
        <w:rPr>
          <w:rFonts w:hint="eastAsia" w:eastAsia="方正仿宋_GBK"/>
          <w:color w:val="auto"/>
          <w:sz w:val="30"/>
          <w:szCs w:val="30"/>
          <w:highlight w:val="none"/>
        </w:rPr>
        <w:t>数字化</w:t>
      </w:r>
      <w:r>
        <w:rPr>
          <w:rFonts w:eastAsia="方正仿宋_GBK"/>
          <w:color w:val="auto"/>
          <w:sz w:val="30"/>
          <w:szCs w:val="30"/>
          <w:highlight w:val="none"/>
        </w:rPr>
        <w:t>”</w:t>
      </w:r>
      <w:r>
        <w:rPr>
          <w:rFonts w:hint="eastAsia" w:eastAsia="方正仿宋_GBK"/>
          <w:color w:val="auto"/>
          <w:sz w:val="30"/>
          <w:szCs w:val="30"/>
          <w:highlight w:val="none"/>
        </w:rPr>
        <w:t>引领国土空间治理方式变革的新局面。进而为楚雄州国土空间重构、国土空间治理能力提升创造新条件。</w:t>
      </w:r>
    </w:p>
    <w:p w14:paraId="54EFD1C4">
      <w:pPr>
        <w:ind w:firstLine="600"/>
        <w:rPr>
          <w:color w:val="auto"/>
          <w:sz w:val="30"/>
          <w:szCs w:val="30"/>
          <w:highlight w:val="none"/>
        </w:rPr>
      </w:pPr>
      <w:r>
        <w:rPr>
          <w:rFonts w:hint="eastAsia" w:ascii="方正楷体_GBK" w:eastAsia="方正楷体_GBK"/>
          <w:color w:val="auto"/>
          <w:sz w:val="30"/>
          <w:szCs w:val="30"/>
          <w:highlight w:val="none"/>
        </w:rPr>
        <w:t>气候变化带来的挑战。</w:t>
      </w:r>
      <w:r>
        <w:rPr>
          <w:rFonts w:hint="eastAsia" w:eastAsia="方正仿宋_GBK"/>
          <w:color w:val="auto"/>
          <w:sz w:val="30"/>
          <w:szCs w:val="30"/>
          <w:highlight w:val="none"/>
        </w:rPr>
        <w:t>气候变暖可能加剧干旱、暴雨洪涝、低温冷害、雾、大风冰雹和雷电等气象灾害的频发性、重叠交替性、突发性和危害性。境内地质构造复杂、岩层疏松破碎、山高坡陡、地形切割大，地质环境脆弱是全省地质灾害较严重的地区之一。气候变化、地壳活动以及大量各类工程的扰动，将进一步加剧自然灾害、次生灾害发生的频率和影响程度，极端暴雨、洪涝将加剧区域地质灾害防治难度，气候变暖将影响农业生产，威胁粮食安全。</w:t>
      </w:r>
    </w:p>
    <w:p w14:paraId="0F4F32C9">
      <w:pPr>
        <w:ind w:firstLine="600"/>
        <w:rPr>
          <w:color w:val="auto"/>
          <w:sz w:val="30"/>
          <w:szCs w:val="30"/>
          <w:highlight w:val="none"/>
        </w:rPr>
      </w:pPr>
      <w:r>
        <w:rPr>
          <w:rFonts w:hint="eastAsia" w:ascii="方正楷体_GBK" w:eastAsia="方正楷体_GBK"/>
          <w:color w:val="auto"/>
          <w:sz w:val="30"/>
          <w:szCs w:val="30"/>
          <w:highlight w:val="none"/>
        </w:rPr>
        <w:t>区域竞争带来的挑战。</w:t>
      </w:r>
      <w:r>
        <w:rPr>
          <w:rFonts w:hint="eastAsia" w:eastAsia="方正仿宋_GBK"/>
          <w:color w:val="auto"/>
          <w:sz w:val="30"/>
          <w:szCs w:val="30"/>
          <w:highlight w:val="none"/>
        </w:rPr>
        <w:t>楚雄州与周边昆明、普洱、大理、玉溪、攀枝花等区域存在资源同质、产业同构等问题，随着广大铁路复线和昆楚大复线高速开通，滇中高速公路网建设推进，受周边大城市“吸附”效应的影响将更加明显，区域竞争将对州域人口流动、产业布局、基础及公共服务设施配套等空间资源配置提出更高的要求</w:t>
      </w:r>
      <w:r>
        <w:rPr>
          <w:rFonts w:eastAsia="方正仿宋_GBK"/>
          <w:color w:val="auto"/>
          <w:sz w:val="30"/>
          <w:szCs w:val="30"/>
          <w:highlight w:val="none"/>
        </w:rPr>
        <w:t>。</w:t>
      </w:r>
    </w:p>
    <w:p w14:paraId="6C5BEFAE">
      <w:pPr>
        <w:ind w:firstLine="600"/>
        <w:rPr>
          <w:rFonts w:eastAsia="方正仿宋_GBK"/>
          <w:color w:val="auto"/>
          <w:sz w:val="30"/>
          <w:szCs w:val="30"/>
          <w:highlight w:val="none"/>
        </w:rPr>
      </w:pPr>
      <w:r>
        <w:rPr>
          <w:rFonts w:ascii="方正楷体_GBK" w:eastAsia="方正楷体_GBK"/>
          <w:color w:val="auto"/>
          <w:sz w:val="30"/>
          <w:szCs w:val="30"/>
          <w:highlight w:val="none"/>
        </w:rPr>
        <w:t>资源空间分布不均带来的挑战。</w:t>
      </w:r>
      <w:r>
        <w:rPr>
          <w:rFonts w:hint="eastAsia" w:eastAsia="方正仿宋_GBK"/>
          <w:color w:val="auto"/>
          <w:sz w:val="30"/>
          <w:szCs w:val="30"/>
          <w:highlight w:val="none"/>
        </w:rPr>
        <w:t>资源空间分布不均将进一步激化空间发展与保护的矛盾，导致区域面临发展不平衡的风险，将对耕地保护、稳定粮食安全提出更高的要求。水资源及水利工程空间分布不均，将导致资源性和工程性缺水并存的风险。资源要素趋紧，可开发利用的水、土地等资源有限，将给城镇化发展、风貌塑造、空间治理、品质提升面临更大的挑战</w:t>
      </w:r>
      <w:r>
        <w:rPr>
          <w:rFonts w:eastAsia="方正仿宋_GBK"/>
          <w:color w:val="auto"/>
          <w:sz w:val="30"/>
          <w:szCs w:val="30"/>
          <w:highlight w:val="none"/>
        </w:rPr>
        <w:t>。</w:t>
      </w:r>
    </w:p>
    <w:p w14:paraId="0C47EA4E">
      <w:pPr>
        <w:pStyle w:val="3"/>
        <w:ind w:left="0" w:firstLine="400"/>
        <w:rPr>
          <w:rFonts w:ascii="Times New Roman"/>
          <w:color w:val="auto"/>
          <w:highlight w:val="none"/>
        </w:rPr>
        <w:sectPr>
          <w:pgSz w:w="11906" w:h="16838"/>
          <w:pgMar w:top="2041" w:right="1644" w:bottom="1871" w:left="1644" w:header="851" w:footer="992" w:gutter="0"/>
          <w:pgNumType w:start="1"/>
          <w:cols w:space="425" w:num="1"/>
          <w:docGrid w:type="linesAndChars" w:linePitch="312" w:charSpace="0"/>
        </w:sectPr>
      </w:pPr>
    </w:p>
    <w:p w14:paraId="082FD45D">
      <w:pPr>
        <w:pStyle w:val="63"/>
        <w:rPr>
          <w:color w:val="auto"/>
          <w:highlight w:val="none"/>
        </w:rPr>
      </w:pPr>
      <w:bookmarkStart w:id="47" w:name="_Toc131433147"/>
      <w:bookmarkStart w:id="48" w:name="_Toc3197"/>
      <w:bookmarkStart w:id="49" w:name="_Toc131433313"/>
      <w:bookmarkStart w:id="50" w:name="_Toc184639365"/>
      <w:bookmarkStart w:id="51" w:name="_Toc4825"/>
      <w:r>
        <w:rPr>
          <w:color w:val="auto"/>
          <w:highlight w:val="none"/>
        </w:rPr>
        <w:t>第二章 国土空间总体目标与战略</w:t>
      </w:r>
      <w:bookmarkEnd w:id="47"/>
      <w:bookmarkEnd w:id="48"/>
      <w:bookmarkEnd w:id="49"/>
      <w:bookmarkEnd w:id="50"/>
    </w:p>
    <w:p w14:paraId="2DF2AF48">
      <w:pPr>
        <w:pStyle w:val="5"/>
        <w:rPr>
          <w:color w:val="auto"/>
          <w:highlight w:val="none"/>
        </w:rPr>
      </w:pPr>
      <w:bookmarkStart w:id="52" w:name="_Toc131433148"/>
      <w:bookmarkStart w:id="53" w:name="_Toc25841"/>
      <w:bookmarkStart w:id="54" w:name="_Toc184639366"/>
      <w:bookmarkStart w:id="55" w:name="_Toc131433314"/>
      <w:r>
        <w:rPr>
          <w:color w:val="auto"/>
          <w:highlight w:val="none"/>
        </w:rPr>
        <w:t>第一节 指导思想</w:t>
      </w:r>
      <w:bookmarkEnd w:id="52"/>
      <w:bookmarkEnd w:id="53"/>
      <w:bookmarkEnd w:id="54"/>
      <w:bookmarkEnd w:id="55"/>
    </w:p>
    <w:p w14:paraId="523B192C">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以习近平新时代中国特色社会主义思想为指导，全面贯彻党的二十大精神及省委十一届三次、四次全会精神，深入贯彻落实习近平总书记两次考察云南重要讲话和重要指示批示精神，深刻领悟“两个确立”的决定性意义，进一步增强“四个意识”、坚定“四个自信”、做到“两个维护”，统筹推进“五位一体”总体布局，协调推进“四个全面”战略布局，全面落实新发展阶段、贯彻新发展理念、构建新发展格局、推动高质量发展、推进共同富裕，主动服务和融入区域协调发展战略、区域重大战略、主体功能区战略、新型城镇化战略，深入实施“3815”战略发展目标，大力发展“资源经济、园区经济、数字经济”，全力打造滇中崛起增长极、现代农业示范区、绿色能源与绿色制造融合发展示范区、民族团结进步示范区，坚持以人民为中心，</w:t>
      </w:r>
      <w:r>
        <w:rPr>
          <w:rFonts w:hint="eastAsia" w:eastAsia="方正仿宋_GBK"/>
          <w:color w:val="auto"/>
          <w:kern w:val="2"/>
          <w:sz w:val="30"/>
          <w:szCs w:val="30"/>
          <w:highlight w:val="none"/>
          <w:lang w:eastAsia="zh-CN"/>
        </w:rPr>
        <w:t>统筹发展和安全</w:t>
      </w:r>
      <w:r>
        <w:rPr>
          <w:rFonts w:hint="eastAsia" w:eastAsia="方正仿宋_GBK"/>
          <w:color w:val="auto"/>
          <w:kern w:val="2"/>
          <w:sz w:val="30"/>
          <w:szCs w:val="30"/>
          <w:highlight w:val="none"/>
        </w:rPr>
        <w:t>，划定耕地和永久基本农田红线、生态保护红线、城镇开发边界三条控制线，优化农业、生态、城镇功能空间，构建优势互补、高质量发展的区域经济布局和国土空间体系，推动空间治理体系和治理能力现代化，为楚雄州高质量跨越式发展提供空间保障</w:t>
      </w:r>
      <w:r>
        <w:rPr>
          <w:rFonts w:eastAsia="方正仿宋_GBK"/>
          <w:color w:val="auto"/>
          <w:kern w:val="2"/>
          <w:sz w:val="30"/>
          <w:szCs w:val="30"/>
          <w:highlight w:val="none"/>
        </w:rPr>
        <w:t>。</w:t>
      </w:r>
    </w:p>
    <w:p w14:paraId="404199C8">
      <w:pPr>
        <w:pStyle w:val="5"/>
        <w:rPr>
          <w:color w:val="auto"/>
          <w:highlight w:val="none"/>
        </w:rPr>
      </w:pPr>
      <w:bookmarkStart w:id="56" w:name="_Toc31502"/>
      <w:bookmarkStart w:id="57" w:name="_Toc184639367"/>
      <w:bookmarkStart w:id="58" w:name="_Toc131433149"/>
      <w:bookmarkStart w:id="59" w:name="_Toc131433315"/>
      <w:r>
        <w:rPr>
          <w:color w:val="auto"/>
          <w:highlight w:val="none"/>
        </w:rPr>
        <w:t>第二节 总体定位</w:t>
      </w:r>
      <w:bookmarkEnd w:id="56"/>
      <w:bookmarkEnd w:id="57"/>
      <w:bookmarkEnd w:id="58"/>
      <w:bookmarkEnd w:id="59"/>
    </w:p>
    <w:p w14:paraId="2FB55D9B">
      <w:pPr>
        <w:pStyle w:val="6"/>
        <w:rPr>
          <w:color w:val="auto"/>
          <w:highlight w:val="none"/>
        </w:rPr>
      </w:pPr>
      <w:r>
        <w:rPr>
          <w:color w:val="auto"/>
          <w:highlight w:val="none"/>
        </w:rPr>
        <w:t>一、高质量建成滇中崛起增长极</w:t>
      </w:r>
    </w:p>
    <w:p w14:paraId="5BD4D5E1">
      <w:pPr>
        <w:pStyle w:val="29"/>
        <w:overflowPunct w:val="0"/>
        <w:adjustRightInd/>
        <w:snapToGrid/>
        <w:spacing w:beforeAutospacing="0" w:afterAutospacing="0" w:line="600" w:lineRule="exact"/>
        <w:ind w:firstLine="600" w:firstLineChars="200"/>
        <w:jc w:val="both"/>
        <w:rPr>
          <w:color w:val="auto"/>
          <w:sz w:val="30"/>
          <w:szCs w:val="30"/>
          <w:highlight w:val="none"/>
        </w:rPr>
      </w:pPr>
      <w:r>
        <w:rPr>
          <w:rFonts w:hint="eastAsia" w:eastAsia="方正仿宋_GBK"/>
          <w:color w:val="auto"/>
          <w:kern w:val="2"/>
          <w:sz w:val="30"/>
          <w:szCs w:val="30"/>
          <w:highlight w:val="none"/>
        </w:rPr>
        <w:t>强化发展规划引领和国土空间规划约束，坚决守住粮食和生态安全底线，强化空间治理，在“接轨昆明、双核驱动、聚群崛起、多点支撑、一体发展”的城镇空间格局下，合理确定城镇规模，在守住耕地红线的同时，科学有序增加建设用地有效供给。推动区域融合、产城融合、城乡融合，强弱项补短板，改善基础设施，彰显风貌特色，提升城镇承载能力、聚合能力，为高质量建成滇中崛起增长极提供空间保障</w:t>
      </w:r>
      <w:r>
        <w:rPr>
          <w:rFonts w:eastAsia="方正仿宋_GBK"/>
          <w:color w:val="auto"/>
          <w:kern w:val="2"/>
          <w:sz w:val="30"/>
          <w:szCs w:val="30"/>
          <w:highlight w:val="none"/>
        </w:rPr>
        <w:t>。</w:t>
      </w:r>
    </w:p>
    <w:p w14:paraId="0F1DF906">
      <w:pPr>
        <w:pStyle w:val="6"/>
        <w:rPr>
          <w:color w:val="auto"/>
          <w:highlight w:val="none"/>
        </w:rPr>
      </w:pPr>
      <w:r>
        <w:rPr>
          <w:color w:val="auto"/>
          <w:highlight w:val="none"/>
        </w:rPr>
        <w:t>二、高标准打造现代农业示范区</w:t>
      </w:r>
    </w:p>
    <w:p w14:paraId="0BE71E52">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落实最严格的耕地保护制度，统筹耕地后备资源空间，科学合理利用耕地资源集中打造一批高端蔬菜基地、世界级野生菌保育基地、畜牧业生产基地，保障农业电子商务服务体系和物流配送体系建设，全面提升农业现代化水平，打造高原特色现代农业示范区</w:t>
      </w:r>
      <w:r>
        <w:rPr>
          <w:rFonts w:eastAsia="方正仿宋_GBK"/>
          <w:color w:val="auto"/>
          <w:kern w:val="2"/>
          <w:sz w:val="30"/>
          <w:szCs w:val="30"/>
          <w:highlight w:val="none"/>
        </w:rPr>
        <w:t>。</w:t>
      </w:r>
    </w:p>
    <w:p w14:paraId="3C82D9AD">
      <w:pPr>
        <w:pStyle w:val="6"/>
        <w:rPr>
          <w:color w:val="auto"/>
          <w:highlight w:val="none"/>
        </w:rPr>
      </w:pPr>
      <w:r>
        <w:rPr>
          <w:rFonts w:hint="eastAsia"/>
          <w:color w:val="auto"/>
          <w:highlight w:val="none"/>
        </w:rPr>
        <w:t>三</w:t>
      </w:r>
      <w:r>
        <w:rPr>
          <w:color w:val="auto"/>
          <w:highlight w:val="none"/>
        </w:rPr>
        <w:t>、高</w:t>
      </w:r>
      <w:r>
        <w:rPr>
          <w:rFonts w:hint="eastAsia"/>
          <w:color w:val="auto"/>
          <w:highlight w:val="none"/>
        </w:rPr>
        <w:t>水平</w:t>
      </w:r>
      <w:r>
        <w:rPr>
          <w:color w:val="auto"/>
          <w:highlight w:val="none"/>
        </w:rPr>
        <w:t>建设绿色能源与绿色制造融合发展示范区</w:t>
      </w:r>
    </w:p>
    <w:p w14:paraId="02E589EF">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扩大绿色能源产业优势，推动绿色能源“源网荷储”一体化发展，积极保障“风光水储”一体化清洁能源基地建设。发挥绿色制造业优势，统筹保障光伏核心区、绿色钛、绿色钒钛、绿色硅、数控装备制造等产业集群的用地需求，提升生态系统碳汇能力，推进碳汇项目开发。</w:t>
      </w:r>
    </w:p>
    <w:p w14:paraId="3AE93F43">
      <w:pPr>
        <w:pStyle w:val="6"/>
        <w:rPr>
          <w:color w:val="auto"/>
          <w:highlight w:val="none"/>
        </w:rPr>
      </w:pPr>
      <w:r>
        <w:rPr>
          <w:rFonts w:hint="eastAsia"/>
          <w:color w:val="auto"/>
          <w:highlight w:val="none"/>
        </w:rPr>
        <w:t>四</w:t>
      </w:r>
      <w:r>
        <w:rPr>
          <w:color w:val="auto"/>
          <w:highlight w:val="none"/>
        </w:rPr>
        <w:t>、</w:t>
      </w:r>
      <w:r>
        <w:rPr>
          <w:rFonts w:hint="eastAsia"/>
          <w:color w:val="auto"/>
          <w:highlight w:val="none"/>
        </w:rPr>
        <w:t>高品质</w:t>
      </w:r>
      <w:r>
        <w:rPr>
          <w:color w:val="auto"/>
          <w:highlight w:val="none"/>
        </w:rPr>
        <w:t>建成民族团结进步示范区</w:t>
      </w:r>
    </w:p>
    <w:p w14:paraId="212CB1FB">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聚焦“五个认同”，以铸牢中华民族共同体意识为主线，坚定各民族对伟大祖国、中华民族、中华文化、中国共产党、中国特色社会主义的高度认同。巩固扩大民族团结进步示范创建成果，传承发展中华优秀传统文化，显著改善民族地区人民生活品质，加强民族地区交通、水利等基础设施建设，改善民族地区教育文化、医疗卫生、社会保障等公共服务设施，为高品质建设全国民族团结进步示范区提供空间支撑</w:t>
      </w:r>
      <w:r>
        <w:rPr>
          <w:rFonts w:eastAsia="方正仿宋_GBK"/>
          <w:color w:val="auto"/>
          <w:kern w:val="2"/>
          <w:sz w:val="30"/>
          <w:szCs w:val="30"/>
          <w:highlight w:val="none"/>
        </w:rPr>
        <w:t>。</w:t>
      </w:r>
    </w:p>
    <w:p w14:paraId="4AB49CFC">
      <w:pPr>
        <w:pStyle w:val="5"/>
        <w:rPr>
          <w:color w:val="auto"/>
          <w:highlight w:val="none"/>
        </w:rPr>
      </w:pPr>
      <w:bookmarkStart w:id="60" w:name="_Toc131433150"/>
      <w:bookmarkStart w:id="61" w:name="_Toc131433316"/>
      <w:bookmarkStart w:id="62" w:name="_Toc23616"/>
      <w:bookmarkStart w:id="63" w:name="_Toc184639368"/>
      <w:r>
        <w:rPr>
          <w:color w:val="auto"/>
          <w:highlight w:val="none"/>
        </w:rPr>
        <w:t>第三节 规划目标</w:t>
      </w:r>
      <w:bookmarkEnd w:id="60"/>
      <w:bookmarkEnd w:id="61"/>
      <w:bookmarkEnd w:id="62"/>
      <w:bookmarkEnd w:id="63"/>
    </w:p>
    <w:p w14:paraId="0DF74F3C">
      <w:pPr>
        <w:pStyle w:val="6"/>
        <w:rPr>
          <w:color w:val="auto"/>
          <w:highlight w:val="none"/>
        </w:rPr>
      </w:pPr>
      <w:r>
        <w:rPr>
          <w:color w:val="auto"/>
          <w:highlight w:val="none"/>
        </w:rPr>
        <w:t>一、总体目标</w:t>
      </w:r>
    </w:p>
    <w:p w14:paraId="63A7628C">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优化国土空间布局，强化资源保护和利用，打造魅力低碳生态空间、绿色高效农业空间和高品质城镇生产生活空间，将楚雄建设成为区域地位突出、发展势头强劲、生态环境优美、高原特色农业优势显著、城镇体系结构优化、城乡融合发展科学有序、民族文化特色显著、拥有现代化空间治理能力的社会主义现代化楚雄</w:t>
      </w:r>
      <w:r>
        <w:rPr>
          <w:rFonts w:eastAsia="方正仿宋_GBK"/>
          <w:color w:val="auto"/>
          <w:kern w:val="2"/>
          <w:sz w:val="30"/>
          <w:szCs w:val="30"/>
          <w:highlight w:val="none"/>
        </w:rPr>
        <w:t>。</w:t>
      </w:r>
    </w:p>
    <w:p w14:paraId="277C8614">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bookmarkStart w:id="64" w:name="_Toc11408172"/>
      <w:r>
        <w:rPr>
          <w:rFonts w:eastAsia="方正仿宋_GBK"/>
          <w:color w:val="auto"/>
          <w:kern w:val="2"/>
          <w:sz w:val="30"/>
          <w:szCs w:val="30"/>
          <w:highlight w:val="none"/>
        </w:rPr>
        <w:t>2025年：</w:t>
      </w:r>
      <w:bookmarkStart w:id="65" w:name="_Hlk80378231"/>
      <w:r>
        <w:rPr>
          <w:rFonts w:hint="eastAsia" w:eastAsia="方正仿宋_GBK"/>
          <w:color w:val="auto"/>
          <w:kern w:val="2"/>
          <w:sz w:val="30"/>
          <w:szCs w:val="30"/>
          <w:highlight w:val="none"/>
        </w:rPr>
        <w:t>国土空间新格局初具雏形，“绿美楚雄”基本形成，生态功能大幅提升，区域协调、新型城镇化、城乡融合、乡村振兴取得新进展，中华优秀传统文化得到保护、传承和弘扬，空间治理体系基本健全</w:t>
      </w:r>
      <w:r>
        <w:rPr>
          <w:rFonts w:eastAsia="方正仿宋_GBK"/>
          <w:color w:val="auto"/>
          <w:kern w:val="2"/>
          <w:sz w:val="30"/>
          <w:szCs w:val="30"/>
          <w:highlight w:val="none"/>
        </w:rPr>
        <w:t>。</w:t>
      </w:r>
      <w:bookmarkEnd w:id="65"/>
    </w:p>
    <w:p w14:paraId="6F307259">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2035年</w:t>
      </w:r>
      <w:r>
        <w:rPr>
          <w:rFonts w:hint="eastAsia" w:eastAsia="方正仿宋_GBK"/>
          <w:color w:val="auto"/>
          <w:kern w:val="2"/>
          <w:sz w:val="30"/>
          <w:szCs w:val="30"/>
          <w:highlight w:val="none"/>
        </w:rPr>
        <w:t>：独具魅力的国土空间格局全面形成，生态空间安全稳固，农业空间绿色高效，城乡空间品质优越，国土空间治理体系和治理能力基本实现现代化</w:t>
      </w:r>
      <w:r>
        <w:rPr>
          <w:rFonts w:eastAsia="方正仿宋_GBK"/>
          <w:color w:val="auto"/>
          <w:kern w:val="2"/>
          <w:sz w:val="30"/>
          <w:szCs w:val="30"/>
          <w:highlight w:val="none"/>
        </w:rPr>
        <w:t>。</w:t>
      </w:r>
    </w:p>
    <w:bookmarkEnd w:id="64"/>
    <w:p w14:paraId="309FAC4E">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2050年愿景：</w:t>
      </w:r>
      <w:r>
        <w:rPr>
          <w:rFonts w:hint="eastAsia" w:eastAsia="方正仿宋_GBK"/>
          <w:color w:val="auto"/>
          <w:kern w:val="2"/>
          <w:sz w:val="30"/>
          <w:szCs w:val="30"/>
          <w:highlight w:val="none"/>
        </w:rPr>
        <w:t>全面建成山清水秀、科创活力、人文荟萃、繁荣富庶，传统与现代交相辉映，体现高质量发展的低碳现代化新楚雄</w:t>
      </w:r>
      <w:r>
        <w:rPr>
          <w:rFonts w:eastAsia="方正仿宋_GBK"/>
          <w:color w:val="auto"/>
          <w:kern w:val="2"/>
          <w:sz w:val="30"/>
          <w:szCs w:val="30"/>
          <w:highlight w:val="none"/>
        </w:rPr>
        <w:t>。</w:t>
      </w:r>
    </w:p>
    <w:p w14:paraId="78A1FC6E">
      <w:pPr>
        <w:pStyle w:val="6"/>
        <w:rPr>
          <w:color w:val="auto"/>
          <w:highlight w:val="none"/>
        </w:rPr>
      </w:pPr>
      <w:r>
        <w:rPr>
          <w:color w:val="auto"/>
          <w:highlight w:val="none"/>
        </w:rPr>
        <w:t>二、规划目标</w:t>
      </w:r>
    </w:p>
    <w:p w14:paraId="795E0ED4">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空间格局更加优化。</w:t>
      </w:r>
      <w:r>
        <w:rPr>
          <w:rFonts w:hint="eastAsia" w:eastAsia="方正仿宋_GBK"/>
          <w:color w:val="auto"/>
          <w:sz w:val="30"/>
          <w:szCs w:val="30"/>
          <w:highlight w:val="none"/>
        </w:rPr>
        <w:t>主体功能区布局进一步优化，“三区三线”空间布局稳固提升，要素支撑能力全面提升，节约集约利用水平显著提升</w:t>
      </w:r>
      <w:r>
        <w:rPr>
          <w:rFonts w:eastAsia="方正仿宋_GBK"/>
          <w:color w:val="auto"/>
          <w:sz w:val="30"/>
          <w:szCs w:val="30"/>
          <w:highlight w:val="none"/>
        </w:rPr>
        <w:t>。</w:t>
      </w:r>
    </w:p>
    <w:p w14:paraId="286BD96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生态安全全面稳固。</w:t>
      </w:r>
      <w:r>
        <w:rPr>
          <w:rFonts w:hint="eastAsia" w:eastAsia="方正仿宋_GBK"/>
          <w:color w:val="auto"/>
          <w:sz w:val="30"/>
          <w:szCs w:val="30"/>
          <w:highlight w:val="none"/>
        </w:rPr>
        <w:t>滇中生态安全屏障作用更加凸显，自然保护地体系全面建成，优质生态产品供给满足人民</w:t>
      </w:r>
      <w:r>
        <w:rPr>
          <w:rFonts w:hint="eastAsia" w:eastAsia="方正仿宋_GBK"/>
          <w:color w:val="auto"/>
          <w:sz w:val="30"/>
          <w:szCs w:val="30"/>
          <w:highlight w:val="none"/>
          <w:lang w:eastAsia="zh-CN"/>
        </w:rPr>
        <w:t>美好生活需要</w:t>
      </w:r>
      <w:r>
        <w:rPr>
          <w:rFonts w:hint="eastAsia" w:eastAsia="方正仿宋_GBK"/>
          <w:color w:val="auto"/>
          <w:sz w:val="30"/>
          <w:szCs w:val="30"/>
          <w:highlight w:val="none"/>
        </w:rPr>
        <w:t>，生物多样性保护全面提升，有力提高生态系统质量和稳定性</w:t>
      </w:r>
      <w:r>
        <w:rPr>
          <w:rFonts w:eastAsia="方正仿宋_GBK"/>
          <w:color w:val="auto"/>
          <w:sz w:val="30"/>
          <w:szCs w:val="30"/>
          <w:highlight w:val="none"/>
        </w:rPr>
        <w:t>。</w:t>
      </w:r>
    </w:p>
    <w:p w14:paraId="4C80C832">
      <w:pPr>
        <w:ind w:firstLine="600"/>
        <w:rPr>
          <w:rFonts w:eastAsia="方正仿宋_GBK"/>
          <w:color w:val="auto"/>
          <w:sz w:val="30"/>
          <w:szCs w:val="30"/>
          <w:highlight w:val="none"/>
        </w:rPr>
      </w:pPr>
      <w:r>
        <w:rPr>
          <w:rFonts w:ascii="方正楷体_GBK" w:eastAsia="方正楷体_GBK"/>
          <w:color w:val="auto"/>
          <w:sz w:val="30"/>
          <w:szCs w:val="30"/>
          <w:highlight w:val="none"/>
        </w:rPr>
        <w:t>现代农业示范区绿色高效。</w:t>
      </w:r>
      <w:r>
        <w:rPr>
          <w:rFonts w:hint="eastAsia" w:eastAsia="方正仿宋_GBK"/>
          <w:color w:val="auto"/>
          <w:sz w:val="30"/>
          <w:szCs w:val="30"/>
          <w:highlight w:val="none"/>
        </w:rPr>
        <w:t>高原特色农业现代化体系全面建成，绿色农产品供给能力进一步提升，耕地“三位一体”保护新格局全面形成</w:t>
      </w:r>
      <w:r>
        <w:rPr>
          <w:rFonts w:eastAsia="方正仿宋_GBK"/>
          <w:color w:val="auto"/>
          <w:sz w:val="30"/>
          <w:szCs w:val="30"/>
          <w:highlight w:val="none"/>
        </w:rPr>
        <w:t>。</w:t>
      </w:r>
    </w:p>
    <w:p w14:paraId="038CF657">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ascii="方正楷体_GBK" w:eastAsia="方正楷体_GBK"/>
          <w:color w:val="auto"/>
          <w:kern w:val="2"/>
          <w:sz w:val="30"/>
          <w:szCs w:val="30"/>
          <w:highlight w:val="none"/>
        </w:rPr>
        <w:t>生活空间品质宜居。</w:t>
      </w:r>
      <w:r>
        <w:rPr>
          <w:rFonts w:hint="eastAsia"/>
          <w:color w:val="auto"/>
          <w:sz w:val="30"/>
          <w:szCs w:val="30"/>
          <w:highlight w:val="none"/>
        </w:rPr>
        <w:t>“</w:t>
      </w:r>
      <w:r>
        <w:rPr>
          <w:rFonts w:hint="eastAsia" w:eastAsia="方正仿宋_GBK"/>
          <w:color w:val="auto"/>
          <w:kern w:val="2"/>
          <w:sz w:val="30"/>
          <w:szCs w:val="30"/>
          <w:highlight w:val="none"/>
        </w:rPr>
        <w:t>两圈一组”的城镇空间格局全面形成。新型城镇化基本实现，城乡融合发展更加协调，城乡人居环境全面提升，乡村振兴取得决定性进展，美丽乡村全面建成</w:t>
      </w:r>
      <w:r>
        <w:rPr>
          <w:rFonts w:eastAsia="方正仿宋_GBK"/>
          <w:color w:val="auto"/>
          <w:kern w:val="2"/>
          <w:sz w:val="30"/>
          <w:szCs w:val="30"/>
          <w:highlight w:val="none"/>
        </w:rPr>
        <w:t>。</w:t>
      </w:r>
    </w:p>
    <w:p w14:paraId="51D328B8">
      <w:pPr>
        <w:pStyle w:val="29"/>
        <w:overflowPunct w:val="0"/>
        <w:adjustRightInd/>
        <w:snapToGrid/>
        <w:spacing w:beforeAutospacing="0" w:afterAutospacing="0" w:line="600" w:lineRule="exact"/>
        <w:ind w:firstLine="600" w:firstLineChars="200"/>
        <w:jc w:val="both"/>
        <w:rPr>
          <w:color w:val="auto"/>
          <w:sz w:val="30"/>
          <w:szCs w:val="30"/>
          <w:highlight w:val="none"/>
        </w:rPr>
      </w:pPr>
      <w:r>
        <w:rPr>
          <w:rFonts w:ascii="方正楷体_GBK" w:eastAsia="方正楷体_GBK"/>
          <w:color w:val="auto"/>
          <w:kern w:val="2"/>
          <w:sz w:val="30"/>
          <w:szCs w:val="30"/>
          <w:highlight w:val="none"/>
        </w:rPr>
        <w:t>空间治理基本实现现代化。</w:t>
      </w:r>
      <w:r>
        <w:rPr>
          <w:rFonts w:hint="eastAsia" w:eastAsia="方正仿宋_GBK"/>
          <w:color w:val="auto"/>
          <w:kern w:val="2"/>
          <w:sz w:val="30"/>
          <w:szCs w:val="30"/>
          <w:highlight w:val="none"/>
        </w:rPr>
        <w:t>主体功能区布局更加优化，自然资源节约集约利用水平显著提升，市场化、多元化生态补偿机制基本健全，国土空间用途管制制度全面建立，国土空间规划“一张图”实施监督信息系统全面建成</w:t>
      </w:r>
      <w:r>
        <w:rPr>
          <w:rFonts w:eastAsia="方正仿宋_GBK"/>
          <w:color w:val="auto"/>
          <w:kern w:val="2"/>
          <w:sz w:val="30"/>
          <w:szCs w:val="30"/>
          <w:highlight w:val="none"/>
        </w:rPr>
        <w:t>。</w:t>
      </w:r>
    </w:p>
    <w:p w14:paraId="2CCDEEC4">
      <w:pPr>
        <w:pStyle w:val="5"/>
        <w:rPr>
          <w:color w:val="auto"/>
          <w:highlight w:val="none"/>
        </w:rPr>
      </w:pPr>
      <w:bookmarkStart w:id="66" w:name="_Toc131433317"/>
      <w:bookmarkStart w:id="67" w:name="_Toc2111"/>
      <w:bookmarkStart w:id="68" w:name="_Toc184639369"/>
      <w:bookmarkStart w:id="69" w:name="_Toc131433151"/>
      <w:r>
        <w:rPr>
          <w:color w:val="auto"/>
          <w:highlight w:val="none"/>
        </w:rPr>
        <w:t>第四节 空间战略</w:t>
      </w:r>
      <w:bookmarkEnd w:id="66"/>
      <w:bookmarkEnd w:id="67"/>
      <w:bookmarkEnd w:id="68"/>
      <w:bookmarkEnd w:id="69"/>
    </w:p>
    <w:p w14:paraId="734D9976">
      <w:pPr>
        <w:pStyle w:val="6"/>
        <w:rPr>
          <w:color w:val="auto"/>
          <w:highlight w:val="none"/>
        </w:rPr>
      </w:pPr>
      <w:r>
        <w:rPr>
          <w:color w:val="auto"/>
          <w:highlight w:val="none"/>
        </w:rPr>
        <w:t>一、严守底线，落实战略</w:t>
      </w:r>
    </w:p>
    <w:p w14:paraId="03052FEB">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坚持保护优先，严守底线，落实粮食、生态、水资源和能源总体安全观，提升国土空间可持续发展能力，落实区域协调发展战略、区域重大战略、主体功能区战略、新型城镇化战略</w:t>
      </w:r>
      <w:r>
        <w:rPr>
          <w:rFonts w:eastAsia="方正仿宋_GBK"/>
          <w:color w:val="auto"/>
          <w:kern w:val="2"/>
          <w:sz w:val="30"/>
          <w:szCs w:val="30"/>
          <w:highlight w:val="none"/>
        </w:rPr>
        <w:t>。</w:t>
      </w:r>
    </w:p>
    <w:p w14:paraId="790BFB25">
      <w:pPr>
        <w:pStyle w:val="6"/>
        <w:rPr>
          <w:color w:val="auto"/>
          <w:highlight w:val="none"/>
        </w:rPr>
      </w:pPr>
      <w:r>
        <w:rPr>
          <w:color w:val="auto"/>
          <w:highlight w:val="none"/>
        </w:rPr>
        <w:t>二、区域协调，差异引导</w:t>
      </w:r>
    </w:p>
    <w:p w14:paraId="5BAEC429">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主动融入</w:t>
      </w:r>
      <w:r>
        <w:rPr>
          <w:rFonts w:hint="eastAsia" w:eastAsia="方正仿宋_GBK"/>
          <w:color w:val="auto"/>
          <w:kern w:val="2"/>
          <w:sz w:val="30"/>
          <w:szCs w:val="30"/>
          <w:highlight w:val="none"/>
        </w:rPr>
        <w:t>“一圈一群两翼一带”（滇中城市群）城镇空间格局</w:t>
      </w:r>
      <w:r>
        <w:rPr>
          <w:rFonts w:eastAsia="方正仿宋_GBK"/>
          <w:color w:val="auto"/>
          <w:kern w:val="2"/>
          <w:sz w:val="30"/>
          <w:szCs w:val="30"/>
          <w:highlight w:val="none"/>
        </w:rPr>
        <w:t>，推动产业互补，推进生态环境共保共治、基础和服务设施共建共享，突出差异化发展引导。</w:t>
      </w:r>
    </w:p>
    <w:p w14:paraId="5AA84444">
      <w:pPr>
        <w:pStyle w:val="6"/>
        <w:rPr>
          <w:color w:val="auto"/>
          <w:highlight w:val="none"/>
        </w:rPr>
      </w:pPr>
      <w:r>
        <w:rPr>
          <w:color w:val="auto"/>
          <w:highlight w:val="none"/>
        </w:rPr>
        <w:t>三、科学高效，质量提升</w:t>
      </w:r>
    </w:p>
    <w:p w14:paraId="044FC9B6">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eastAsia="方正仿宋_GBK"/>
          <w:color w:val="auto"/>
          <w:kern w:val="2"/>
          <w:sz w:val="30"/>
          <w:szCs w:val="30"/>
          <w:highlight w:val="none"/>
        </w:rPr>
        <w:t>落实国家粮食安全，严格保护耕地，坚守永久基本农田保护红线，</w:t>
      </w:r>
      <w:r>
        <w:rPr>
          <w:rFonts w:hint="eastAsia" w:eastAsia="方正仿宋_GBK"/>
          <w:color w:val="auto"/>
          <w:kern w:val="2"/>
          <w:sz w:val="30"/>
          <w:szCs w:val="30"/>
          <w:highlight w:val="none"/>
        </w:rPr>
        <w:t>遏制耕地“非农化”、防止“非粮化”</w:t>
      </w:r>
      <w:r>
        <w:rPr>
          <w:rFonts w:eastAsia="方正仿宋_GBK"/>
          <w:color w:val="auto"/>
          <w:kern w:val="2"/>
          <w:sz w:val="30"/>
          <w:szCs w:val="30"/>
          <w:highlight w:val="none"/>
        </w:rPr>
        <w:t>，提升耕地质量，科学提高土地利用效率。</w:t>
      </w:r>
    </w:p>
    <w:p w14:paraId="03F9F8E7">
      <w:pPr>
        <w:pStyle w:val="6"/>
        <w:rPr>
          <w:color w:val="auto"/>
          <w:highlight w:val="none"/>
        </w:rPr>
      </w:pPr>
      <w:r>
        <w:rPr>
          <w:color w:val="auto"/>
          <w:highlight w:val="none"/>
        </w:rPr>
        <w:t>四、绿色低碳，系统修复</w:t>
      </w:r>
    </w:p>
    <w:p w14:paraId="27CE68B9">
      <w:pPr>
        <w:pStyle w:val="29"/>
        <w:overflowPunct w:val="0"/>
        <w:adjustRightInd/>
        <w:snapToGrid/>
        <w:spacing w:beforeAutospacing="0" w:afterAutospacing="0" w:line="600" w:lineRule="exact"/>
        <w:ind w:firstLine="600" w:firstLineChars="200"/>
        <w:jc w:val="both"/>
        <w:rPr>
          <w:color w:val="auto"/>
          <w:sz w:val="30"/>
          <w:szCs w:val="30"/>
          <w:highlight w:val="none"/>
        </w:rPr>
      </w:pPr>
      <w:r>
        <w:rPr>
          <w:rFonts w:hint="eastAsia" w:eastAsia="方正仿宋_GBK"/>
          <w:color w:val="auto"/>
          <w:kern w:val="2"/>
          <w:sz w:val="30"/>
          <w:szCs w:val="30"/>
          <w:highlight w:val="none"/>
        </w:rPr>
        <w:t>共抓长江上游大保护，统筹推进山水林田湖草系统治理与生态修复，大力开展</w:t>
      </w:r>
      <w:r>
        <w:rPr>
          <w:rFonts w:hint="eastAsia" w:eastAsia="方正仿宋_GBK"/>
          <w:color w:val="auto"/>
          <w:kern w:val="2"/>
          <w:sz w:val="30"/>
          <w:szCs w:val="30"/>
          <w:highlight w:val="none"/>
          <w:lang w:eastAsia="zh-CN"/>
        </w:rPr>
        <w:t>全域土地综合整治</w:t>
      </w:r>
      <w:r>
        <w:rPr>
          <w:rFonts w:hint="eastAsia" w:eastAsia="方正仿宋_GBK"/>
          <w:color w:val="auto"/>
          <w:kern w:val="2"/>
          <w:sz w:val="30"/>
          <w:szCs w:val="30"/>
          <w:highlight w:val="none"/>
        </w:rPr>
        <w:t>，坚持“绿美楚雄”建设和绿色低碳发展，形成绿色发展方式和生活方式</w:t>
      </w:r>
      <w:r>
        <w:rPr>
          <w:rFonts w:eastAsia="方正仿宋_GBK"/>
          <w:color w:val="auto"/>
          <w:kern w:val="2"/>
          <w:sz w:val="30"/>
          <w:szCs w:val="30"/>
          <w:highlight w:val="none"/>
        </w:rPr>
        <w:t>。</w:t>
      </w:r>
    </w:p>
    <w:p w14:paraId="34943A87">
      <w:pPr>
        <w:pStyle w:val="6"/>
        <w:rPr>
          <w:color w:val="auto"/>
          <w:highlight w:val="none"/>
        </w:rPr>
      </w:pPr>
      <w:r>
        <w:rPr>
          <w:color w:val="auto"/>
          <w:highlight w:val="none"/>
        </w:rPr>
        <w:t>五、民族团结，文化繁荣</w:t>
      </w:r>
    </w:p>
    <w:p w14:paraId="35962529">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全面贯彻党的民族理论和民族政策，深化民族团结进步，弘扬优秀历史文化，促进民族团结，推动遗产保护和利用，融入大滇西旅游环线，彰显魅力特色</w:t>
      </w:r>
      <w:r>
        <w:rPr>
          <w:rFonts w:eastAsia="方正仿宋_GBK"/>
          <w:color w:val="auto"/>
          <w:kern w:val="2"/>
          <w:sz w:val="30"/>
          <w:szCs w:val="30"/>
          <w:highlight w:val="none"/>
        </w:rPr>
        <w:t>。</w:t>
      </w:r>
    </w:p>
    <w:p w14:paraId="5C1C60BF">
      <w:pPr>
        <w:pStyle w:val="6"/>
        <w:rPr>
          <w:color w:val="auto"/>
          <w:highlight w:val="none"/>
        </w:rPr>
      </w:pPr>
      <w:r>
        <w:rPr>
          <w:color w:val="auto"/>
          <w:highlight w:val="none"/>
        </w:rPr>
        <w:t>六、安全韧性，强化保障</w:t>
      </w:r>
    </w:p>
    <w:p w14:paraId="47B86AD5">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提升防灾减灾能力，统筹公共安全规划布局，强化公共安全底板弱项，提升城市公共安全保障能力，建设韧性楚雄</w:t>
      </w:r>
      <w:r>
        <w:rPr>
          <w:rFonts w:eastAsia="方正仿宋_GBK"/>
          <w:color w:val="auto"/>
          <w:kern w:val="2"/>
          <w:sz w:val="30"/>
          <w:szCs w:val="30"/>
          <w:highlight w:val="none"/>
        </w:rPr>
        <w:t>。</w:t>
      </w:r>
    </w:p>
    <w:p w14:paraId="08E7595B">
      <w:pPr>
        <w:pStyle w:val="5"/>
        <w:rPr>
          <w:color w:val="auto"/>
          <w:highlight w:val="none"/>
        </w:rPr>
      </w:pPr>
      <w:bookmarkStart w:id="70" w:name="_Toc184639370"/>
      <w:r>
        <w:rPr>
          <w:color w:val="auto"/>
          <w:highlight w:val="none"/>
        </w:rPr>
        <w:t>第</w:t>
      </w:r>
      <w:r>
        <w:rPr>
          <w:rFonts w:hint="eastAsia"/>
          <w:color w:val="auto"/>
          <w:highlight w:val="none"/>
        </w:rPr>
        <w:t>五</w:t>
      </w:r>
      <w:r>
        <w:rPr>
          <w:color w:val="auto"/>
          <w:highlight w:val="none"/>
        </w:rPr>
        <w:t xml:space="preserve">节 </w:t>
      </w:r>
      <w:r>
        <w:rPr>
          <w:rFonts w:hint="eastAsia"/>
          <w:color w:val="auto"/>
          <w:highlight w:val="none"/>
        </w:rPr>
        <w:t>指标体系</w:t>
      </w:r>
      <w:bookmarkEnd w:id="70"/>
    </w:p>
    <w:p w14:paraId="2E5BA1B8">
      <w:pPr>
        <w:pStyle w:val="29"/>
        <w:overflowPunct w:val="0"/>
        <w:adjustRightInd/>
        <w:snapToGrid/>
        <w:spacing w:beforeAutospacing="0" w:afterAutospacing="0" w:line="600" w:lineRule="exact"/>
        <w:ind w:firstLine="600" w:firstLineChars="200"/>
        <w:jc w:val="both"/>
        <w:rPr>
          <w:rFonts w:eastAsia="方正仿宋_GBK"/>
          <w:color w:val="auto"/>
          <w:kern w:val="2"/>
          <w:sz w:val="30"/>
          <w:szCs w:val="30"/>
          <w:highlight w:val="none"/>
        </w:rPr>
      </w:pPr>
      <w:r>
        <w:rPr>
          <w:rFonts w:hint="eastAsia" w:eastAsia="方正仿宋_GBK"/>
          <w:color w:val="auto"/>
          <w:kern w:val="2"/>
          <w:sz w:val="30"/>
          <w:szCs w:val="30"/>
          <w:highlight w:val="none"/>
        </w:rPr>
        <w:t>规划主要指标包括空间底线、空间结构与效率和空间品质三类指标，分为约束性和预期性两种管控引导指标。约束性指标落实上位规划确定的各类底线要求，以刚性的控制线对面积、分布、边界等内容进行传导。结合地方发展实际和特色，设定预期性指标，引导城市建设环境、产业发展质量、空间连通性、设施完善度等高质量发展，主要指标详见下表：</w:t>
      </w:r>
    </w:p>
    <w:p w14:paraId="0C57E963">
      <w:pPr>
        <w:pStyle w:val="11"/>
        <w:rPr>
          <w:color w:val="auto"/>
          <w:highlight w:val="none"/>
        </w:rPr>
      </w:pPr>
      <w:r>
        <w:rPr>
          <w:rFonts w:hint="eastAsia"/>
          <w:color w:val="auto"/>
          <w:highlight w:val="none"/>
        </w:rPr>
        <w:t>专栏1  楚雄州国土空间开发保护主要指标</w:t>
      </w:r>
    </w:p>
    <w:tbl>
      <w:tblPr>
        <w:tblStyle w:val="32"/>
        <w:tblW w:w="5100" w:type="pct"/>
        <w:jc w:val="center"/>
        <w:tblLayout w:type="autofit"/>
        <w:tblCellMar>
          <w:top w:w="0" w:type="dxa"/>
          <w:left w:w="108" w:type="dxa"/>
          <w:bottom w:w="0" w:type="dxa"/>
          <w:right w:w="108" w:type="dxa"/>
        </w:tblCellMar>
      </w:tblPr>
      <w:tblGrid>
        <w:gridCol w:w="886"/>
        <w:gridCol w:w="761"/>
        <w:gridCol w:w="2509"/>
        <w:gridCol w:w="1162"/>
        <w:gridCol w:w="1231"/>
        <w:gridCol w:w="1231"/>
        <w:gridCol w:w="1231"/>
      </w:tblGrid>
      <w:tr w14:paraId="48737FF2">
        <w:tblPrEx>
          <w:tblCellMar>
            <w:top w:w="0" w:type="dxa"/>
            <w:left w:w="108" w:type="dxa"/>
            <w:bottom w:w="0" w:type="dxa"/>
            <w:right w:w="108" w:type="dxa"/>
          </w:tblCellMar>
        </w:tblPrEx>
        <w:trPr>
          <w:trHeight w:val="62" w:hRule="atLeast"/>
          <w:tblHeader/>
          <w:jc w:val="center"/>
        </w:trPr>
        <w:tc>
          <w:tcPr>
            <w:tcW w:w="507" w:type="pct"/>
            <w:tcBorders>
              <w:top w:val="single" w:color="auto" w:sz="8" w:space="0"/>
              <w:left w:val="single" w:color="auto" w:sz="8" w:space="0"/>
              <w:bottom w:val="single" w:color="auto" w:sz="8" w:space="0"/>
              <w:right w:val="single" w:color="auto" w:sz="8" w:space="0"/>
            </w:tcBorders>
            <w:shd w:val="clear" w:color="auto" w:fill="auto"/>
            <w:vAlign w:val="center"/>
          </w:tcPr>
          <w:p w14:paraId="23A130C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名称</w:t>
            </w:r>
          </w:p>
        </w:tc>
        <w:tc>
          <w:tcPr>
            <w:tcW w:w="438" w:type="pct"/>
            <w:tcBorders>
              <w:top w:val="single" w:color="auto" w:sz="8" w:space="0"/>
              <w:left w:val="nil"/>
              <w:bottom w:val="single" w:color="auto" w:sz="8" w:space="0"/>
              <w:right w:val="single" w:color="auto" w:sz="8" w:space="0"/>
            </w:tcBorders>
            <w:shd w:val="clear" w:color="auto" w:fill="auto"/>
            <w:vAlign w:val="center"/>
          </w:tcPr>
          <w:p w14:paraId="79D892B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序号</w:t>
            </w:r>
          </w:p>
        </w:tc>
        <w:tc>
          <w:tcPr>
            <w:tcW w:w="1408" w:type="pct"/>
            <w:tcBorders>
              <w:top w:val="single" w:color="auto" w:sz="8" w:space="0"/>
              <w:left w:val="nil"/>
              <w:bottom w:val="single" w:color="auto" w:sz="8" w:space="0"/>
              <w:right w:val="single" w:color="auto" w:sz="8" w:space="0"/>
            </w:tcBorders>
            <w:shd w:val="clear" w:color="auto" w:fill="auto"/>
            <w:vAlign w:val="center"/>
          </w:tcPr>
          <w:p w14:paraId="0481433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指标项</w:t>
            </w:r>
          </w:p>
        </w:tc>
        <w:tc>
          <w:tcPr>
            <w:tcW w:w="553" w:type="pct"/>
            <w:tcBorders>
              <w:top w:val="single" w:color="auto" w:sz="8" w:space="0"/>
              <w:left w:val="nil"/>
              <w:bottom w:val="single" w:color="auto" w:sz="8" w:space="0"/>
              <w:right w:val="single" w:color="auto" w:sz="8" w:space="0"/>
            </w:tcBorders>
            <w:shd w:val="clear" w:color="auto" w:fill="auto"/>
            <w:vAlign w:val="center"/>
          </w:tcPr>
          <w:p w14:paraId="6DFC2217">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2020年</w:t>
            </w:r>
          </w:p>
        </w:tc>
        <w:tc>
          <w:tcPr>
            <w:tcW w:w="698" w:type="pct"/>
            <w:tcBorders>
              <w:top w:val="single" w:color="auto" w:sz="8" w:space="0"/>
              <w:left w:val="nil"/>
              <w:bottom w:val="single" w:color="auto" w:sz="8" w:space="0"/>
              <w:right w:val="single" w:color="auto" w:sz="8" w:space="0"/>
            </w:tcBorders>
            <w:shd w:val="clear" w:color="auto" w:fill="auto"/>
            <w:vAlign w:val="center"/>
          </w:tcPr>
          <w:p w14:paraId="7CB4C46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2025年</w:t>
            </w:r>
          </w:p>
        </w:tc>
        <w:tc>
          <w:tcPr>
            <w:tcW w:w="698" w:type="pct"/>
            <w:tcBorders>
              <w:top w:val="single" w:color="auto" w:sz="8" w:space="0"/>
              <w:left w:val="nil"/>
              <w:bottom w:val="single" w:color="auto" w:sz="8" w:space="0"/>
              <w:right w:val="single" w:color="auto" w:sz="8" w:space="0"/>
            </w:tcBorders>
            <w:shd w:val="clear" w:color="auto" w:fill="auto"/>
            <w:vAlign w:val="center"/>
          </w:tcPr>
          <w:p w14:paraId="3DDF09D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2035年</w:t>
            </w:r>
          </w:p>
        </w:tc>
        <w:tc>
          <w:tcPr>
            <w:tcW w:w="698" w:type="pct"/>
            <w:tcBorders>
              <w:top w:val="single" w:color="auto" w:sz="8" w:space="0"/>
              <w:left w:val="nil"/>
              <w:bottom w:val="single" w:color="auto" w:sz="8" w:space="0"/>
              <w:right w:val="single" w:color="auto" w:sz="8" w:space="0"/>
            </w:tcBorders>
            <w:shd w:val="clear" w:color="auto" w:fill="auto"/>
            <w:vAlign w:val="center"/>
          </w:tcPr>
          <w:p w14:paraId="308A65E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指标属性</w:t>
            </w:r>
          </w:p>
        </w:tc>
      </w:tr>
      <w:tr w14:paraId="415BAFED">
        <w:tblPrEx>
          <w:tblCellMar>
            <w:top w:w="0" w:type="dxa"/>
            <w:left w:w="108" w:type="dxa"/>
            <w:bottom w:w="0" w:type="dxa"/>
            <w:right w:w="108" w:type="dxa"/>
          </w:tblCellMar>
        </w:tblPrEx>
        <w:trPr>
          <w:trHeight w:val="62" w:hRule="atLeast"/>
          <w:jc w:val="center"/>
        </w:trPr>
        <w:tc>
          <w:tcPr>
            <w:tcW w:w="507" w:type="pct"/>
            <w:vMerge w:val="restart"/>
            <w:tcBorders>
              <w:top w:val="nil"/>
              <w:left w:val="single" w:color="auto" w:sz="8" w:space="0"/>
              <w:bottom w:val="single" w:color="000000" w:sz="8" w:space="0"/>
              <w:right w:val="single" w:color="auto" w:sz="8" w:space="0"/>
            </w:tcBorders>
            <w:shd w:val="clear" w:color="auto" w:fill="auto"/>
            <w:vAlign w:val="center"/>
          </w:tcPr>
          <w:p w14:paraId="12002F8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空间底线</w:t>
            </w:r>
          </w:p>
        </w:tc>
        <w:tc>
          <w:tcPr>
            <w:tcW w:w="438" w:type="pct"/>
            <w:tcBorders>
              <w:top w:val="nil"/>
              <w:left w:val="nil"/>
              <w:bottom w:val="single" w:color="auto" w:sz="8" w:space="0"/>
              <w:right w:val="single" w:color="auto" w:sz="8" w:space="0"/>
            </w:tcBorders>
            <w:shd w:val="clear" w:color="auto" w:fill="auto"/>
            <w:vAlign w:val="center"/>
          </w:tcPr>
          <w:p w14:paraId="2C2BDB88">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w:t>
            </w:r>
          </w:p>
        </w:tc>
        <w:tc>
          <w:tcPr>
            <w:tcW w:w="1408" w:type="pct"/>
            <w:tcBorders>
              <w:top w:val="nil"/>
              <w:left w:val="nil"/>
              <w:bottom w:val="single" w:color="auto" w:sz="8" w:space="0"/>
              <w:right w:val="single" w:color="auto" w:sz="8" w:space="0"/>
            </w:tcBorders>
            <w:shd w:val="clear" w:color="auto" w:fill="auto"/>
            <w:vAlign w:val="center"/>
          </w:tcPr>
          <w:p w14:paraId="2991BE8F">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生态保护红线面积（平方千米）</w:t>
            </w:r>
          </w:p>
        </w:tc>
        <w:tc>
          <w:tcPr>
            <w:tcW w:w="553" w:type="pct"/>
            <w:tcBorders>
              <w:top w:val="nil"/>
              <w:left w:val="nil"/>
              <w:bottom w:val="single" w:color="auto" w:sz="8" w:space="0"/>
              <w:right w:val="single" w:color="auto" w:sz="8" w:space="0"/>
            </w:tcBorders>
            <w:shd w:val="clear" w:color="auto" w:fill="auto"/>
            <w:vAlign w:val="center"/>
          </w:tcPr>
          <w:p w14:paraId="574838BB">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08B5546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≥7199.33</w:t>
            </w:r>
          </w:p>
        </w:tc>
        <w:tc>
          <w:tcPr>
            <w:tcW w:w="698" w:type="pct"/>
            <w:tcBorders>
              <w:top w:val="nil"/>
              <w:left w:val="nil"/>
              <w:bottom w:val="single" w:color="auto" w:sz="8" w:space="0"/>
              <w:right w:val="single" w:color="auto" w:sz="8" w:space="0"/>
            </w:tcBorders>
            <w:shd w:val="clear" w:color="auto" w:fill="auto"/>
            <w:vAlign w:val="center"/>
          </w:tcPr>
          <w:p w14:paraId="2F73873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≥7199.33</w:t>
            </w:r>
          </w:p>
        </w:tc>
        <w:tc>
          <w:tcPr>
            <w:tcW w:w="698" w:type="pct"/>
            <w:tcBorders>
              <w:top w:val="nil"/>
              <w:left w:val="nil"/>
              <w:bottom w:val="single" w:color="auto" w:sz="8" w:space="0"/>
              <w:right w:val="single" w:color="auto" w:sz="8" w:space="0"/>
            </w:tcBorders>
            <w:shd w:val="clear" w:color="auto" w:fill="auto"/>
            <w:vAlign w:val="center"/>
          </w:tcPr>
          <w:p w14:paraId="7E16879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4689EBE6">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7578E073">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3947955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2</w:t>
            </w:r>
          </w:p>
        </w:tc>
        <w:tc>
          <w:tcPr>
            <w:tcW w:w="1408" w:type="pct"/>
            <w:tcBorders>
              <w:top w:val="nil"/>
              <w:left w:val="nil"/>
              <w:bottom w:val="single" w:color="auto" w:sz="8" w:space="0"/>
              <w:right w:val="single" w:color="auto" w:sz="8" w:space="0"/>
            </w:tcBorders>
            <w:shd w:val="clear" w:color="auto" w:fill="auto"/>
            <w:vAlign w:val="center"/>
          </w:tcPr>
          <w:p w14:paraId="0A37E985">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用水总量（亿立方米）</w:t>
            </w:r>
          </w:p>
        </w:tc>
        <w:tc>
          <w:tcPr>
            <w:tcW w:w="553" w:type="pct"/>
            <w:tcBorders>
              <w:top w:val="nil"/>
              <w:left w:val="nil"/>
              <w:bottom w:val="single" w:color="auto" w:sz="8" w:space="0"/>
              <w:right w:val="single" w:color="auto" w:sz="8" w:space="0"/>
            </w:tcBorders>
            <w:shd w:val="clear" w:color="auto" w:fill="auto"/>
            <w:vAlign w:val="center"/>
          </w:tcPr>
          <w:p w14:paraId="1E06436C">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10.41</w:t>
            </w:r>
          </w:p>
        </w:tc>
        <w:tc>
          <w:tcPr>
            <w:tcW w:w="698" w:type="pct"/>
            <w:tcBorders>
              <w:top w:val="nil"/>
              <w:left w:val="nil"/>
              <w:bottom w:val="single" w:color="auto" w:sz="8" w:space="0"/>
              <w:right w:val="single" w:color="auto" w:sz="8" w:space="0"/>
            </w:tcBorders>
            <w:shd w:val="clear" w:color="auto" w:fill="auto"/>
            <w:vAlign w:val="center"/>
          </w:tcPr>
          <w:p w14:paraId="7155513C">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12.60</w:t>
            </w:r>
          </w:p>
        </w:tc>
        <w:tc>
          <w:tcPr>
            <w:tcW w:w="698" w:type="pct"/>
            <w:tcBorders>
              <w:top w:val="nil"/>
              <w:left w:val="nil"/>
              <w:bottom w:val="single" w:color="auto" w:sz="8" w:space="0"/>
              <w:right w:val="single" w:color="auto" w:sz="8" w:space="0"/>
            </w:tcBorders>
            <w:shd w:val="clear" w:color="auto" w:fill="auto"/>
            <w:vAlign w:val="center"/>
          </w:tcPr>
          <w:p w14:paraId="711A642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1C821C7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0872C048">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342BB005">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0B0C850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3</w:t>
            </w:r>
          </w:p>
        </w:tc>
        <w:tc>
          <w:tcPr>
            <w:tcW w:w="1408" w:type="pct"/>
            <w:tcBorders>
              <w:top w:val="nil"/>
              <w:left w:val="nil"/>
              <w:bottom w:val="single" w:color="auto" w:sz="8" w:space="0"/>
              <w:right w:val="single" w:color="auto" w:sz="8" w:space="0"/>
            </w:tcBorders>
            <w:shd w:val="clear" w:color="auto" w:fill="auto"/>
            <w:vAlign w:val="center"/>
          </w:tcPr>
          <w:p w14:paraId="7A578BB8">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永久基本农田保护面积（万亩）</w:t>
            </w:r>
          </w:p>
        </w:tc>
        <w:tc>
          <w:tcPr>
            <w:tcW w:w="553" w:type="pct"/>
            <w:tcBorders>
              <w:top w:val="nil"/>
              <w:left w:val="nil"/>
              <w:bottom w:val="single" w:color="auto" w:sz="8" w:space="0"/>
              <w:right w:val="single" w:color="auto" w:sz="8" w:space="0"/>
            </w:tcBorders>
            <w:shd w:val="clear" w:color="auto" w:fill="auto"/>
            <w:vAlign w:val="center"/>
          </w:tcPr>
          <w:p w14:paraId="0B98049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61F3BF6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≥365.00</w:t>
            </w:r>
          </w:p>
        </w:tc>
        <w:tc>
          <w:tcPr>
            <w:tcW w:w="698" w:type="pct"/>
            <w:tcBorders>
              <w:top w:val="nil"/>
              <w:left w:val="nil"/>
              <w:bottom w:val="single" w:color="auto" w:sz="8" w:space="0"/>
              <w:right w:val="single" w:color="auto" w:sz="8" w:space="0"/>
            </w:tcBorders>
            <w:shd w:val="clear" w:color="auto" w:fill="auto"/>
            <w:vAlign w:val="center"/>
          </w:tcPr>
          <w:p w14:paraId="5F01FFD8">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≥365.00</w:t>
            </w:r>
          </w:p>
        </w:tc>
        <w:tc>
          <w:tcPr>
            <w:tcW w:w="698" w:type="pct"/>
            <w:tcBorders>
              <w:top w:val="nil"/>
              <w:left w:val="nil"/>
              <w:bottom w:val="single" w:color="auto" w:sz="8" w:space="0"/>
              <w:right w:val="single" w:color="auto" w:sz="8" w:space="0"/>
            </w:tcBorders>
            <w:shd w:val="clear" w:color="auto" w:fill="auto"/>
            <w:vAlign w:val="center"/>
          </w:tcPr>
          <w:p w14:paraId="6AC0FB3A">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6930DE89">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35474653">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0A61B28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w:t>
            </w:r>
          </w:p>
        </w:tc>
        <w:tc>
          <w:tcPr>
            <w:tcW w:w="1408" w:type="pct"/>
            <w:tcBorders>
              <w:top w:val="nil"/>
              <w:left w:val="nil"/>
              <w:bottom w:val="single" w:color="auto" w:sz="8" w:space="0"/>
              <w:right w:val="single" w:color="auto" w:sz="8" w:space="0"/>
            </w:tcBorders>
            <w:shd w:val="clear" w:color="auto" w:fill="auto"/>
            <w:vAlign w:val="center"/>
          </w:tcPr>
          <w:p w14:paraId="610A866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坝区耕地划入永久基本农田比例（%）</w:t>
            </w:r>
          </w:p>
        </w:tc>
        <w:tc>
          <w:tcPr>
            <w:tcW w:w="553" w:type="pct"/>
            <w:tcBorders>
              <w:top w:val="nil"/>
              <w:left w:val="nil"/>
              <w:bottom w:val="single" w:color="auto" w:sz="8" w:space="0"/>
              <w:right w:val="single" w:color="auto" w:sz="8" w:space="0"/>
            </w:tcBorders>
            <w:shd w:val="clear" w:color="auto" w:fill="auto"/>
            <w:vAlign w:val="center"/>
          </w:tcPr>
          <w:p w14:paraId="6BD25748">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7F6B64C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≥90.93</w:t>
            </w:r>
          </w:p>
        </w:tc>
        <w:tc>
          <w:tcPr>
            <w:tcW w:w="698" w:type="pct"/>
            <w:tcBorders>
              <w:top w:val="nil"/>
              <w:left w:val="nil"/>
              <w:bottom w:val="single" w:color="auto" w:sz="8" w:space="0"/>
              <w:right w:val="single" w:color="auto" w:sz="8" w:space="0"/>
            </w:tcBorders>
            <w:shd w:val="clear" w:color="auto" w:fill="auto"/>
            <w:vAlign w:val="center"/>
          </w:tcPr>
          <w:p w14:paraId="56054D3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≥90.93</w:t>
            </w:r>
          </w:p>
        </w:tc>
        <w:tc>
          <w:tcPr>
            <w:tcW w:w="698" w:type="pct"/>
            <w:tcBorders>
              <w:top w:val="nil"/>
              <w:left w:val="nil"/>
              <w:bottom w:val="single" w:color="auto" w:sz="8" w:space="0"/>
              <w:right w:val="single" w:color="auto" w:sz="8" w:space="0"/>
            </w:tcBorders>
            <w:shd w:val="clear" w:color="auto" w:fill="auto"/>
            <w:vAlign w:val="center"/>
          </w:tcPr>
          <w:p w14:paraId="246F9EE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324B2898">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12D611F4">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397B6B7F">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5</w:t>
            </w:r>
          </w:p>
        </w:tc>
        <w:tc>
          <w:tcPr>
            <w:tcW w:w="1408" w:type="pct"/>
            <w:tcBorders>
              <w:top w:val="nil"/>
              <w:left w:val="nil"/>
              <w:bottom w:val="single" w:color="auto" w:sz="8" w:space="0"/>
              <w:right w:val="single" w:color="auto" w:sz="8" w:space="0"/>
            </w:tcBorders>
            <w:shd w:val="clear" w:color="auto" w:fill="auto"/>
            <w:vAlign w:val="center"/>
          </w:tcPr>
          <w:p w14:paraId="4ED7C745">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耕地保有量（万亩）</w:t>
            </w:r>
          </w:p>
        </w:tc>
        <w:tc>
          <w:tcPr>
            <w:tcW w:w="553" w:type="pct"/>
            <w:tcBorders>
              <w:top w:val="nil"/>
              <w:left w:val="nil"/>
              <w:bottom w:val="single" w:color="auto" w:sz="8" w:space="0"/>
              <w:right w:val="single" w:color="auto" w:sz="8" w:space="0"/>
            </w:tcBorders>
            <w:shd w:val="clear" w:color="auto" w:fill="auto"/>
            <w:vAlign w:val="center"/>
          </w:tcPr>
          <w:p w14:paraId="47047DA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125461FB">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≥492.27</w:t>
            </w:r>
          </w:p>
        </w:tc>
        <w:tc>
          <w:tcPr>
            <w:tcW w:w="698" w:type="pct"/>
            <w:tcBorders>
              <w:top w:val="nil"/>
              <w:left w:val="nil"/>
              <w:bottom w:val="single" w:color="auto" w:sz="8" w:space="0"/>
              <w:right w:val="single" w:color="auto" w:sz="8" w:space="0"/>
            </w:tcBorders>
            <w:shd w:val="clear" w:color="auto" w:fill="auto"/>
            <w:vAlign w:val="center"/>
          </w:tcPr>
          <w:p w14:paraId="4A3FA18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≥492.27</w:t>
            </w:r>
          </w:p>
        </w:tc>
        <w:tc>
          <w:tcPr>
            <w:tcW w:w="698" w:type="pct"/>
            <w:tcBorders>
              <w:top w:val="nil"/>
              <w:left w:val="nil"/>
              <w:bottom w:val="single" w:color="auto" w:sz="8" w:space="0"/>
              <w:right w:val="single" w:color="auto" w:sz="8" w:space="0"/>
            </w:tcBorders>
            <w:shd w:val="clear" w:color="auto" w:fill="auto"/>
            <w:vAlign w:val="center"/>
          </w:tcPr>
          <w:p w14:paraId="06241BC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23AAF2C8">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08610DA3">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0E54E575">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6</w:t>
            </w:r>
          </w:p>
        </w:tc>
        <w:tc>
          <w:tcPr>
            <w:tcW w:w="1408" w:type="pct"/>
            <w:tcBorders>
              <w:top w:val="nil"/>
              <w:left w:val="nil"/>
              <w:bottom w:val="single" w:color="auto" w:sz="8" w:space="0"/>
              <w:right w:val="single" w:color="auto" w:sz="8" w:space="0"/>
            </w:tcBorders>
            <w:shd w:val="clear" w:color="auto" w:fill="auto"/>
            <w:vAlign w:val="center"/>
          </w:tcPr>
          <w:p w14:paraId="69F378AB">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森林覆盖率（%）</w:t>
            </w:r>
          </w:p>
        </w:tc>
        <w:tc>
          <w:tcPr>
            <w:tcW w:w="553" w:type="pct"/>
            <w:tcBorders>
              <w:top w:val="nil"/>
              <w:left w:val="nil"/>
              <w:bottom w:val="single" w:color="auto" w:sz="8" w:space="0"/>
              <w:right w:val="single" w:color="auto" w:sz="8" w:space="0"/>
            </w:tcBorders>
            <w:shd w:val="clear" w:color="auto" w:fill="auto"/>
            <w:vAlign w:val="center"/>
          </w:tcPr>
          <w:p w14:paraId="3C6916A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62.09</w:t>
            </w:r>
          </w:p>
        </w:tc>
        <w:tc>
          <w:tcPr>
            <w:tcW w:w="698" w:type="pct"/>
            <w:tcBorders>
              <w:top w:val="nil"/>
              <w:left w:val="nil"/>
              <w:bottom w:val="single" w:color="auto" w:sz="8" w:space="0"/>
              <w:right w:val="single" w:color="auto" w:sz="8" w:space="0"/>
            </w:tcBorders>
            <w:shd w:val="clear" w:color="auto" w:fill="auto"/>
            <w:vAlign w:val="center"/>
          </w:tcPr>
          <w:p w14:paraId="2697F3E5">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2E74542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3FCC822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465BEEAB">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7030B4DA">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1796F30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7</w:t>
            </w:r>
          </w:p>
        </w:tc>
        <w:tc>
          <w:tcPr>
            <w:tcW w:w="1408" w:type="pct"/>
            <w:tcBorders>
              <w:top w:val="nil"/>
              <w:left w:val="nil"/>
              <w:bottom w:val="single" w:color="auto" w:sz="8" w:space="0"/>
              <w:right w:val="single" w:color="auto" w:sz="8" w:space="0"/>
            </w:tcBorders>
            <w:shd w:val="clear" w:color="auto" w:fill="auto"/>
            <w:vAlign w:val="center"/>
          </w:tcPr>
          <w:p w14:paraId="14F51EB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林地保有量（平方千米）</w:t>
            </w:r>
          </w:p>
        </w:tc>
        <w:tc>
          <w:tcPr>
            <w:tcW w:w="553" w:type="pct"/>
            <w:tcBorders>
              <w:top w:val="nil"/>
              <w:left w:val="nil"/>
              <w:bottom w:val="single" w:color="auto" w:sz="8" w:space="0"/>
              <w:right w:val="single" w:color="auto" w:sz="8" w:space="0"/>
            </w:tcBorders>
            <w:shd w:val="clear" w:color="auto" w:fill="auto"/>
            <w:vAlign w:val="center"/>
          </w:tcPr>
          <w:p w14:paraId="1AA92D67">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20613.69</w:t>
            </w:r>
          </w:p>
        </w:tc>
        <w:tc>
          <w:tcPr>
            <w:tcW w:w="698" w:type="pct"/>
            <w:tcBorders>
              <w:top w:val="nil"/>
              <w:left w:val="nil"/>
              <w:bottom w:val="single" w:color="auto" w:sz="8" w:space="0"/>
              <w:right w:val="single" w:color="auto" w:sz="8" w:space="0"/>
            </w:tcBorders>
            <w:shd w:val="clear" w:color="auto" w:fill="auto"/>
            <w:vAlign w:val="center"/>
          </w:tcPr>
          <w:p w14:paraId="673F7BB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097B122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517310E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41E0B1B4">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4FDFE8EB">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5BF74E3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8</w:t>
            </w:r>
          </w:p>
        </w:tc>
        <w:tc>
          <w:tcPr>
            <w:tcW w:w="1408" w:type="pct"/>
            <w:tcBorders>
              <w:top w:val="nil"/>
              <w:left w:val="nil"/>
              <w:bottom w:val="single" w:color="auto" w:sz="8" w:space="0"/>
              <w:right w:val="single" w:color="auto" w:sz="8" w:space="0"/>
            </w:tcBorders>
            <w:shd w:val="clear" w:color="auto" w:fill="auto"/>
            <w:vAlign w:val="center"/>
          </w:tcPr>
          <w:p w14:paraId="397FB14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自然保护地陆域面积占陆域国土面积比例（%）</w:t>
            </w:r>
          </w:p>
        </w:tc>
        <w:tc>
          <w:tcPr>
            <w:tcW w:w="553" w:type="pct"/>
            <w:tcBorders>
              <w:top w:val="nil"/>
              <w:left w:val="nil"/>
              <w:bottom w:val="single" w:color="auto" w:sz="8" w:space="0"/>
              <w:right w:val="single" w:color="auto" w:sz="8" w:space="0"/>
            </w:tcBorders>
            <w:shd w:val="clear" w:color="auto" w:fill="auto"/>
            <w:vAlign w:val="center"/>
          </w:tcPr>
          <w:p w14:paraId="72C1A858">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0A641BDA">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3D8D329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依据上级下达任务确定</w:t>
            </w:r>
          </w:p>
        </w:tc>
        <w:tc>
          <w:tcPr>
            <w:tcW w:w="698" w:type="pct"/>
            <w:tcBorders>
              <w:top w:val="nil"/>
              <w:left w:val="nil"/>
              <w:bottom w:val="single" w:color="auto" w:sz="8" w:space="0"/>
              <w:right w:val="single" w:color="auto" w:sz="8" w:space="0"/>
            </w:tcBorders>
            <w:shd w:val="clear" w:color="auto" w:fill="auto"/>
            <w:vAlign w:val="center"/>
          </w:tcPr>
          <w:p w14:paraId="6CDBA89E">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0498539B">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640E2D6A">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0EF13259">
            <w:pPr>
              <w:widowControl/>
              <w:adjustRightInd/>
              <w:snapToGrid/>
              <w:spacing w:line="280" w:lineRule="exact"/>
              <w:ind w:firstLine="0" w:firstLineChars="0"/>
              <w:jc w:val="center"/>
              <w:rPr>
                <w:rFonts w:eastAsia="方正仿宋_GBK"/>
                <w:color w:val="auto"/>
                <w:kern w:val="0"/>
                <w:sz w:val="24"/>
                <w:szCs w:val="24"/>
                <w:highlight w:val="none"/>
              </w:rPr>
            </w:pPr>
          </w:p>
        </w:tc>
        <w:tc>
          <w:tcPr>
            <w:tcW w:w="1408" w:type="pct"/>
            <w:tcBorders>
              <w:top w:val="nil"/>
              <w:left w:val="nil"/>
              <w:bottom w:val="single" w:color="auto" w:sz="8" w:space="0"/>
              <w:right w:val="single" w:color="auto" w:sz="8" w:space="0"/>
            </w:tcBorders>
            <w:shd w:val="clear" w:color="auto" w:fill="auto"/>
            <w:vAlign w:val="center"/>
          </w:tcPr>
          <w:p w14:paraId="562536F4">
            <w:pPr>
              <w:widowControl/>
              <w:adjustRightInd/>
              <w:snapToGrid/>
              <w:spacing w:line="280" w:lineRule="exact"/>
              <w:ind w:firstLine="0" w:firstLineChars="0"/>
              <w:jc w:val="center"/>
              <w:rPr>
                <w:rFonts w:eastAsia="方正仿宋_GBK"/>
                <w:color w:val="auto"/>
                <w:kern w:val="0"/>
                <w:sz w:val="24"/>
                <w:szCs w:val="24"/>
                <w:highlight w:val="none"/>
              </w:rPr>
            </w:pPr>
          </w:p>
        </w:tc>
        <w:tc>
          <w:tcPr>
            <w:tcW w:w="553" w:type="pct"/>
            <w:tcBorders>
              <w:top w:val="nil"/>
              <w:left w:val="nil"/>
              <w:bottom w:val="single" w:color="auto" w:sz="8" w:space="0"/>
              <w:right w:val="single" w:color="auto" w:sz="8" w:space="0"/>
            </w:tcBorders>
            <w:shd w:val="clear" w:color="auto" w:fill="auto"/>
            <w:vAlign w:val="center"/>
          </w:tcPr>
          <w:p w14:paraId="6CBA1870">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3A486CCF">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07831F3D">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4C521910">
            <w:pPr>
              <w:widowControl/>
              <w:adjustRightInd/>
              <w:snapToGrid/>
              <w:spacing w:line="280" w:lineRule="exact"/>
              <w:ind w:firstLine="0" w:firstLineChars="0"/>
              <w:jc w:val="center"/>
              <w:rPr>
                <w:rFonts w:eastAsia="方正仿宋_GBK"/>
                <w:color w:val="auto"/>
                <w:kern w:val="0"/>
                <w:sz w:val="24"/>
                <w:szCs w:val="24"/>
                <w:highlight w:val="none"/>
              </w:rPr>
            </w:pPr>
          </w:p>
        </w:tc>
      </w:tr>
      <w:tr w14:paraId="2B423827">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62CC1E26">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4BAD8486">
            <w:pPr>
              <w:widowControl/>
              <w:adjustRightInd/>
              <w:snapToGrid/>
              <w:spacing w:line="280" w:lineRule="exact"/>
              <w:ind w:firstLine="0" w:firstLineChars="0"/>
              <w:jc w:val="center"/>
              <w:rPr>
                <w:rFonts w:hint="eastAsia" w:eastAsia="方正仿宋_GBK"/>
                <w:color w:val="auto"/>
                <w:kern w:val="0"/>
                <w:sz w:val="24"/>
                <w:szCs w:val="24"/>
                <w:highlight w:val="none"/>
                <w:lang w:eastAsia="zh-CN"/>
              </w:rPr>
            </w:pPr>
            <w:r>
              <w:rPr>
                <w:rFonts w:hint="eastAsia" w:eastAsia="方正仿宋_GBK"/>
                <w:color w:val="auto"/>
                <w:kern w:val="0"/>
                <w:sz w:val="24"/>
                <w:szCs w:val="24"/>
                <w:highlight w:val="none"/>
                <w:lang w:val="en-US" w:eastAsia="zh-CN"/>
              </w:rPr>
              <w:t>9</w:t>
            </w:r>
          </w:p>
        </w:tc>
        <w:tc>
          <w:tcPr>
            <w:tcW w:w="1408" w:type="pct"/>
            <w:tcBorders>
              <w:top w:val="nil"/>
              <w:left w:val="nil"/>
              <w:bottom w:val="single" w:color="auto" w:sz="8" w:space="0"/>
              <w:right w:val="single" w:color="auto" w:sz="8" w:space="0"/>
            </w:tcBorders>
            <w:shd w:val="clear" w:color="auto" w:fill="auto"/>
            <w:vAlign w:val="center"/>
          </w:tcPr>
          <w:p w14:paraId="5AC1F806">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城镇开发边界扩展倍数（倍数）</w:t>
            </w:r>
          </w:p>
        </w:tc>
        <w:tc>
          <w:tcPr>
            <w:tcW w:w="553" w:type="pct"/>
            <w:tcBorders>
              <w:top w:val="nil"/>
              <w:left w:val="nil"/>
              <w:bottom w:val="single" w:color="auto" w:sz="8" w:space="0"/>
              <w:right w:val="single" w:color="auto" w:sz="8" w:space="0"/>
            </w:tcBorders>
            <w:shd w:val="clear" w:color="auto" w:fill="auto"/>
            <w:vAlign w:val="center"/>
          </w:tcPr>
          <w:p w14:paraId="5E54D4DF">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vAlign w:val="center"/>
          </w:tcPr>
          <w:p w14:paraId="77774EEB">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w:t>
            </w:r>
          </w:p>
        </w:tc>
        <w:tc>
          <w:tcPr>
            <w:tcW w:w="698" w:type="pct"/>
            <w:tcBorders>
              <w:top w:val="nil"/>
              <w:left w:val="nil"/>
              <w:bottom w:val="single" w:color="auto" w:sz="8" w:space="0"/>
              <w:right w:val="single" w:color="auto" w:sz="8" w:space="0"/>
            </w:tcBorders>
            <w:shd w:val="clear" w:color="auto" w:fill="auto"/>
            <w:noWrap/>
            <w:vAlign w:val="center"/>
          </w:tcPr>
          <w:p w14:paraId="371B7A65">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1.293</w:t>
            </w:r>
          </w:p>
        </w:tc>
        <w:tc>
          <w:tcPr>
            <w:tcW w:w="698" w:type="pct"/>
            <w:tcBorders>
              <w:top w:val="nil"/>
              <w:left w:val="nil"/>
              <w:bottom w:val="single" w:color="auto" w:sz="8" w:space="0"/>
              <w:right w:val="single" w:color="auto" w:sz="8" w:space="0"/>
            </w:tcBorders>
            <w:shd w:val="clear" w:color="auto" w:fill="auto"/>
            <w:vAlign w:val="center"/>
          </w:tcPr>
          <w:p w14:paraId="3433334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331DB009">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26710D75">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5A1DFA73">
            <w:pPr>
              <w:widowControl/>
              <w:adjustRightInd/>
              <w:snapToGrid/>
              <w:spacing w:line="280" w:lineRule="exact"/>
              <w:ind w:firstLine="0" w:firstLineChars="0"/>
              <w:jc w:val="center"/>
              <w:rPr>
                <w:rFonts w:hint="default" w:eastAsia="方正仿宋_GBK"/>
                <w:color w:val="auto"/>
                <w:kern w:val="0"/>
                <w:sz w:val="24"/>
                <w:szCs w:val="24"/>
                <w:highlight w:val="none"/>
                <w:lang w:val="en-US" w:eastAsia="zh-CN"/>
              </w:rPr>
            </w:pPr>
            <w:r>
              <w:rPr>
                <w:rFonts w:hint="eastAsia" w:eastAsia="方正仿宋_GBK"/>
                <w:color w:val="auto"/>
                <w:kern w:val="0"/>
                <w:sz w:val="24"/>
                <w:szCs w:val="24"/>
                <w:highlight w:val="none"/>
                <w:lang w:val="en-US" w:eastAsia="zh-CN"/>
              </w:rPr>
              <w:t>10</w:t>
            </w:r>
          </w:p>
        </w:tc>
        <w:tc>
          <w:tcPr>
            <w:tcW w:w="1408" w:type="pct"/>
            <w:tcBorders>
              <w:top w:val="nil"/>
              <w:left w:val="nil"/>
              <w:bottom w:val="single" w:color="auto" w:sz="8" w:space="0"/>
              <w:right w:val="single" w:color="auto" w:sz="8" w:space="0"/>
            </w:tcBorders>
            <w:shd w:val="clear" w:color="auto" w:fill="auto"/>
            <w:vAlign w:val="center"/>
          </w:tcPr>
          <w:p w14:paraId="4B1DE96A">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自然和文化遗产（处）</w:t>
            </w:r>
          </w:p>
        </w:tc>
        <w:tc>
          <w:tcPr>
            <w:tcW w:w="553" w:type="pct"/>
            <w:tcBorders>
              <w:top w:val="nil"/>
              <w:left w:val="nil"/>
              <w:bottom w:val="single" w:color="auto" w:sz="8" w:space="0"/>
              <w:right w:val="single" w:color="auto" w:sz="8" w:space="0"/>
            </w:tcBorders>
            <w:shd w:val="clear" w:color="auto" w:fill="auto"/>
            <w:vAlign w:val="center"/>
          </w:tcPr>
          <w:p w14:paraId="559066F7">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342</w:t>
            </w:r>
          </w:p>
        </w:tc>
        <w:tc>
          <w:tcPr>
            <w:tcW w:w="698" w:type="pct"/>
            <w:tcBorders>
              <w:top w:val="nil"/>
              <w:left w:val="nil"/>
              <w:bottom w:val="single" w:color="auto" w:sz="8" w:space="0"/>
              <w:right w:val="single" w:color="auto" w:sz="8" w:space="0"/>
            </w:tcBorders>
            <w:shd w:val="clear" w:color="auto" w:fill="auto"/>
            <w:vAlign w:val="center"/>
          </w:tcPr>
          <w:p w14:paraId="1FCAFB4F">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437</w:t>
            </w:r>
          </w:p>
        </w:tc>
        <w:tc>
          <w:tcPr>
            <w:tcW w:w="698" w:type="pct"/>
            <w:tcBorders>
              <w:top w:val="nil"/>
              <w:left w:val="nil"/>
              <w:bottom w:val="single" w:color="auto" w:sz="8" w:space="0"/>
              <w:right w:val="single" w:color="auto" w:sz="8" w:space="0"/>
            </w:tcBorders>
            <w:shd w:val="clear" w:color="auto" w:fill="auto"/>
            <w:vAlign w:val="center"/>
          </w:tcPr>
          <w:p w14:paraId="4917B68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490</w:t>
            </w:r>
          </w:p>
        </w:tc>
        <w:tc>
          <w:tcPr>
            <w:tcW w:w="698" w:type="pct"/>
            <w:tcBorders>
              <w:top w:val="nil"/>
              <w:left w:val="nil"/>
              <w:bottom w:val="single" w:color="auto" w:sz="8" w:space="0"/>
              <w:right w:val="single" w:color="auto" w:sz="8" w:space="0"/>
            </w:tcBorders>
            <w:shd w:val="clear" w:color="auto" w:fill="auto"/>
            <w:vAlign w:val="center"/>
          </w:tcPr>
          <w:p w14:paraId="2DC3298C">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1DD6CA15">
        <w:tblPrEx>
          <w:tblCellMar>
            <w:top w:w="0" w:type="dxa"/>
            <w:left w:w="108" w:type="dxa"/>
            <w:bottom w:w="0" w:type="dxa"/>
            <w:right w:w="108" w:type="dxa"/>
          </w:tblCellMar>
        </w:tblPrEx>
        <w:trPr>
          <w:trHeight w:val="62" w:hRule="atLeast"/>
          <w:jc w:val="center"/>
        </w:trPr>
        <w:tc>
          <w:tcPr>
            <w:tcW w:w="507" w:type="pct"/>
            <w:vMerge w:val="restart"/>
            <w:tcBorders>
              <w:top w:val="nil"/>
              <w:left w:val="single" w:color="auto" w:sz="8" w:space="0"/>
              <w:bottom w:val="single" w:color="000000" w:sz="8" w:space="0"/>
              <w:right w:val="single" w:color="auto" w:sz="8" w:space="0"/>
            </w:tcBorders>
            <w:shd w:val="clear" w:color="auto" w:fill="auto"/>
            <w:vAlign w:val="center"/>
          </w:tcPr>
          <w:p w14:paraId="14F70A63">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空间结构与效率</w:t>
            </w:r>
          </w:p>
        </w:tc>
        <w:tc>
          <w:tcPr>
            <w:tcW w:w="438" w:type="pct"/>
            <w:tcBorders>
              <w:top w:val="nil"/>
              <w:left w:val="nil"/>
              <w:bottom w:val="single" w:color="auto" w:sz="8" w:space="0"/>
              <w:right w:val="single" w:color="auto" w:sz="8" w:space="0"/>
            </w:tcBorders>
            <w:shd w:val="clear" w:color="auto" w:fill="auto"/>
            <w:vAlign w:val="center"/>
          </w:tcPr>
          <w:p w14:paraId="64562585">
            <w:pPr>
              <w:widowControl/>
              <w:adjustRightInd/>
              <w:snapToGrid/>
              <w:spacing w:line="280" w:lineRule="exact"/>
              <w:ind w:firstLine="0" w:firstLineChars="0"/>
              <w:jc w:val="center"/>
              <w:rPr>
                <w:rFonts w:hint="default" w:eastAsia="方正仿宋_GBK"/>
                <w:color w:val="auto"/>
                <w:kern w:val="0"/>
                <w:sz w:val="24"/>
                <w:szCs w:val="24"/>
                <w:highlight w:val="none"/>
                <w:lang w:val="en-US" w:eastAsia="zh-CN"/>
              </w:rPr>
            </w:pPr>
            <w:r>
              <w:rPr>
                <w:rFonts w:hint="eastAsia" w:eastAsia="方正仿宋_GBK"/>
                <w:color w:val="auto"/>
                <w:kern w:val="0"/>
                <w:sz w:val="24"/>
                <w:szCs w:val="24"/>
                <w:highlight w:val="none"/>
                <w:lang w:val="en-US" w:eastAsia="zh-CN"/>
              </w:rPr>
              <w:t>11</w:t>
            </w:r>
          </w:p>
        </w:tc>
        <w:tc>
          <w:tcPr>
            <w:tcW w:w="1408" w:type="pct"/>
            <w:tcBorders>
              <w:top w:val="nil"/>
              <w:left w:val="nil"/>
              <w:bottom w:val="single" w:color="auto" w:sz="8" w:space="0"/>
              <w:right w:val="single" w:color="auto" w:sz="8" w:space="0"/>
            </w:tcBorders>
            <w:shd w:val="clear" w:color="auto" w:fill="auto"/>
            <w:vAlign w:val="center"/>
          </w:tcPr>
          <w:p w14:paraId="57EA49F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人均城镇建设用地面积（平方米）</w:t>
            </w:r>
          </w:p>
        </w:tc>
        <w:tc>
          <w:tcPr>
            <w:tcW w:w="553" w:type="pct"/>
            <w:tcBorders>
              <w:top w:val="nil"/>
              <w:left w:val="nil"/>
              <w:bottom w:val="single" w:color="auto" w:sz="8" w:space="0"/>
              <w:right w:val="single" w:color="auto" w:sz="8" w:space="0"/>
            </w:tcBorders>
            <w:shd w:val="clear" w:color="auto" w:fill="auto"/>
            <w:vAlign w:val="center"/>
          </w:tcPr>
          <w:p w14:paraId="5223683C">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116.81</w:t>
            </w:r>
          </w:p>
        </w:tc>
        <w:tc>
          <w:tcPr>
            <w:tcW w:w="698" w:type="pct"/>
            <w:tcBorders>
              <w:top w:val="nil"/>
              <w:left w:val="nil"/>
              <w:bottom w:val="single" w:color="auto" w:sz="8" w:space="0"/>
              <w:right w:val="single" w:color="auto" w:sz="8" w:space="0"/>
            </w:tcBorders>
            <w:shd w:val="clear" w:color="auto" w:fill="auto"/>
            <w:vAlign w:val="center"/>
          </w:tcPr>
          <w:p w14:paraId="33629CCA">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≤110</w:t>
            </w:r>
          </w:p>
        </w:tc>
        <w:tc>
          <w:tcPr>
            <w:tcW w:w="698" w:type="pct"/>
            <w:tcBorders>
              <w:top w:val="nil"/>
              <w:left w:val="nil"/>
              <w:bottom w:val="single" w:color="auto" w:sz="8" w:space="0"/>
              <w:right w:val="single" w:color="auto" w:sz="8" w:space="0"/>
            </w:tcBorders>
            <w:shd w:val="clear" w:color="auto" w:fill="auto"/>
            <w:vAlign w:val="center"/>
          </w:tcPr>
          <w:p w14:paraId="6925C6C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≤110</w:t>
            </w:r>
          </w:p>
        </w:tc>
        <w:tc>
          <w:tcPr>
            <w:tcW w:w="698" w:type="pct"/>
            <w:tcBorders>
              <w:top w:val="nil"/>
              <w:left w:val="nil"/>
              <w:bottom w:val="single" w:color="auto" w:sz="8" w:space="0"/>
              <w:right w:val="single" w:color="auto" w:sz="8" w:space="0"/>
            </w:tcBorders>
            <w:shd w:val="clear" w:color="auto" w:fill="auto"/>
            <w:vAlign w:val="center"/>
          </w:tcPr>
          <w:p w14:paraId="6948830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约束性</w:t>
            </w:r>
          </w:p>
        </w:tc>
      </w:tr>
      <w:tr w14:paraId="35A92BE1">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54133FC0">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01818477">
            <w:pPr>
              <w:widowControl/>
              <w:adjustRightInd/>
              <w:snapToGrid/>
              <w:spacing w:line="280" w:lineRule="exact"/>
              <w:ind w:firstLine="0" w:firstLineChars="0"/>
              <w:jc w:val="center"/>
              <w:rPr>
                <w:rFonts w:eastAsia="方正仿宋_GBK"/>
                <w:color w:val="auto"/>
                <w:kern w:val="0"/>
                <w:sz w:val="24"/>
                <w:szCs w:val="24"/>
                <w:highlight w:val="none"/>
              </w:rPr>
            </w:pPr>
          </w:p>
        </w:tc>
        <w:tc>
          <w:tcPr>
            <w:tcW w:w="1408" w:type="pct"/>
            <w:tcBorders>
              <w:top w:val="nil"/>
              <w:left w:val="nil"/>
              <w:bottom w:val="single" w:color="auto" w:sz="8" w:space="0"/>
              <w:right w:val="single" w:color="auto" w:sz="8" w:space="0"/>
            </w:tcBorders>
            <w:shd w:val="clear" w:color="auto" w:fill="auto"/>
            <w:vAlign w:val="center"/>
          </w:tcPr>
          <w:p w14:paraId="60C3894B">
            <w:pPr>
              <w:widowControl/>
              <w:adjustRightInd/>
              <w:snapToGrid/>
              <w:spacing w:line="280" w:lineRule="exact"/>
              <w:ind w:firstLine="0" w:firstLineChars="0"/>
              <w:jc w:val="center"/>
              <w:rPr>
                <w:rFonts w:eastAsia="方正仿宋_GBK"/>
                <w:color w:val="auto"/>
                <w:kern w:val="0"/>
                <w:sz w:val="24"/>
                <w:szCs w:val="24"/>
                <w:highlight w:val="none"/>
              </w:rPr>
            </w:pPr>
          </w:p>
        </w:tc>
        <w:tc>
          <w:tcPr>
            <w:tcW w:w="553" w:type="pct"/>
            <w:tcBorders>
              <w:top w:val="nil"/>
              <w:left w:val="nil"/>
              <w:bottom w:val="single" w:color="auto" w:sz="8" w:space="0"/>
              <w:right w:val="single" w:color="auto" w:sz="8" w:space="0"/>
            </w:tcBorders>
            <w:shd w:val="clear" w:color="auto" w:fill="auto"/>
            <w:vAlign w:val="center"/>
          </w:tcPr>
          <w:p w14:paraId="4876E7B3">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14A3A116">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64678169">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71DC90BA">
            <w:pPr>
              <w:widowControl/>
              <w:adjustRightInd/>
              <w:snapToGrid/>
              <w:spacing w:line="280" w:lineRule="exact"/>
              <w:ind w:firstLine="0" w:firstLineChars="0"/>
              <w:jc w:val="center"/>
              <w:rPr>
                <w:rFonts w:eastAsia="方正仿宋_GBK"/>
                <w:color w:val="auto"/>
                <w:kern w:val="0"/>
                <w:sz w:val="24"/>
                <w:szCs w:val="24"/>
                <w:highlight w:val="none"/>
              </w:rPr>
            </w:pPr>
          </w:p>
        </w:tc>
      </w:tr>
      <w:tr w14:paraId="65B506F4">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36051767">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7C5F9AE3">
            <w:pPr>
              <w:widowControl/>
              <w:adjustRightInd/>
              <w:snapToGrid/>
              <w:spacing w:line="280" w:lineRule="exact"/>
              <w:ind w:firstLine="0" w:firstLineChars="0"/>
              <w:jc w:val="center"/>
              <w:rPr>
                <w:rFonts w:eastAsia="方正仿宋_GBK"/>
                <w:color w:val="auto"/>
                <w:kern w:val="0"/>
                <w:sz w:val="24"/>
                <w:szCs w:val="24"/>
                <w:highlight w:val="none"/>
              </w:rPr>
            </w:pPr>
          </w:p>
        </w:tc>
        <w:tc>
          <w:tcPr>
            <w:tcW w:w="1408" w:type="pct"/>
            <w:tcBorders>
              <w:top w:val="nil"/>
              <w:left w:val="nil"/>
              <w:bottom w:val="single" w:color="auto" w:sz="8" w:space="0"/>
              <w:right w:val="single" w:color="auto" w:sz="8" w:space="0"/>
            </w:tcBorders>
            <w:shd w:val="clear" w:color="auto" w:fill="auto"/>
            <w:vAlign w:val="center"/>
          </w:tcPr>
          <w:p w14:paraId="7AC5F9D0">
            <w:pPr>
              <w:widowControl/>
              <w:adjustRightInd/>
              <w:snapToGrid/>
              <w:spacing w:line="280" w:lineRule="exact"/>
              <w:ind w:firstLine="0" w:firstLineChars="0"/>
              <w:jc w:val="center"/>
              <w:rPr>
                <w:rFonts w:eastAsia="方正仿宋_GBK"/>
                <w:color w:val="auto"/>
                <w:kern w:val="0"/>
                <w:sz w:val="24"/>
                <w:szCs w:val="24"/>
                <w:highlight w:val="none"/>
              </w:rPr>
            </w:pPr>
          </w:p>
        </w:tc>
        <w:tc>
          <w:tcPr>
            <w:tcW w:w="553" w:type="pct"/>
            <w:tcBorders>
              <w:top w:val="nil"/>
              <w:left w:val="nil"/>
              <w:bottom w:val="single" w:color="auto" w:sz="8" w:space="0"/>
              <w:right w:val="single" w:color="auto" w:sz="8" w:space="0"/>
            </w:tcBorders>
            <w:shd w:val="clear" w:color="auto" w:fill="auto"/>
            <w:vAlign w:val="center"/>
          </w:tcPr>
          <w:p w14:paraId="180D8A70">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5A84B77D">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30801738">
            <w:pPr>
              <w:widowControl/>
              <w:adjustRightInd/>
              <w:snapToGrid/>
              <w:spacing w:line="280" w:lineRule="exact"/>
              <w:ind w:firstLine="0" w:firstLineChars="0"/>
              <w:jc w:val="center"/>
              <w:rPr>
                <w:rFonts w:eastAsia="方正仿宋_GBK"/>
                <w:color w:val="auto"/>
                <w:kern w:val="0"/>
                <w:sz w:val="24"/>
                <w:szCs w:val="24"/>
                <w:highlight w:val="none"/>
              </w:rPr>
            </w:pPr>
          </w:p>
        </w:tc>
        <w:tc>
          <w:tcPr>
            <w:tcW w:w="698" w:type="pct"/>
            <w:tcBorders>
              <w:top w:val="nil"/>
              <w:left w:val="nil"/>
              <w:bottom w:val="single" w:color="auto" w:sz="8" w:space="0"/>
              <w:right w:val="single" w:color="auto" w:sz="8" w:space="0"/>
            </w:tcBorders>
            <w:shd w:val="clear" w:color="auto" w:fill="auto"/>
            <w:vAlign w:val="center"/>
          </w:tcPr>
          <w:p w14:paraId="3D078CE5">
            <w:pPr>
              <w:widowControl/>
              <w:adjustRightInd/>
              <w:snapToGrid/>
              <w:spacing w:line="280" w:lineRule="exact"/>
              <w:ind w:firstLine="0" w:firstLineChars="0"/>
              <w:jc w:val="center"/>
              <w:rPr>
                <w:rFonts w:eastAsia="方正仿宋_GBK"/>
                <w:color w:val="auto"/>
                <w:kern w:val="0"/>
                <w:sz w:val="24"/>
                <w:szCs w:val="24"/>
                <w:highlight w:val="none"/>
              </w:rPr>
            </w:pPr>
          </w:p>
        </w:tc>
      </w:tr>
      <w:tr w14:paraId="743E0AA8">
        <w:tblPrEx>
          <w:tblCellMar>
            <w:top w:w="0" w:type="dxa"/>
            <w:left w:w="108" w:type="dxa"/>
            <w:bottom w:w="0" w:type="dxa"/>
            <w:right w:w="108" w:type="dxa"/>
          </w:tblCellMar>
        </w:tblPrEx>
        <w:trPr>
          <w:trHeight w:val="62" w:hRule="atLeast"/>
          <w:jc w:val="center"/>
        </w:trPr>
        <w:tc>
          <w:tcPr>
            <w:tcW w:w="507" w:type="pct"/>
            <w:vMerge w:val="restart"/>
            <w:tcBorders>
              <w:top w:val="nil"/>
              <w:left w:val="single" w:color="auto" w:sz="8" w:space="0"/>
              <w:bottom w:val="single" w:color="000000" w:sz="8" w:space="0"/>
              <w:right w:val="single" w:color="auto" w:sz="8" w:space="0"/>
            </w:tcBorders>
            <w:shd w:val="clear" w:color="auto" w:fill="auto"/>
            <w:vAlign w:val="center"/>
          </w:tcPr>
          <w:p w14:paraId="6CD8AFB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空间品质</w:t>
            </w:r>
          </w:p>
        </w:tc>
        <w:tc>
          <w:tcPr>
            <w:tcW w:w="438" w:type="pct"/>
            <w:tcBorders>
              <w:top w:val="nil"/>
              <w:left w:val="nil"/>
              <w:bottom w:val="single" w:color="auto" w:sz="8" w:space="0"/>
              <w:right w:val="single" w:color="auto" w:sz="8" w:space="0"/>
            </w:tcBorders>
            <w:shd w:val="clear" w:color="auto" w:fill="auto"/>
            <w:vAlign w:val="center"/>
          </w:tcPr>
          <w:p w14:paraId="4FD99044">
            <w:pPr>
              <w:widowControl/>
              <w:adjustRightInd/>
              <w:snapToGrid/>
              <w:spacing w:line="280" w:lineRule="exact"/>
              <w:ind w:firstLine="0" w:firstLineChars="0"/>
              <w:jc w:val="center"/>
              <w:rPr>
                <w:rFonts w:hint="default" w:eastAsia="方正仿宋_GBK"/>
                <w:color w:val="auto"/>
                <w:kern w:val="0"/>
                <w:sz w:val="24"/>
                <w:szCs w:val="24"/>
                <w:highlight w:val="none"/>
                <w:lang w:val="en-US" w:eastAsia="zh-CN"/>
              </w:rPr>
            </w:pPr>
            <w:r>
              <w:rPr>
                <w:rFonts w:hint="eastAsia" w:eastAsia="方正仿宋_GBK"/>
                <w:color w:val="auto"/>
                <w:kern w:val="0"/>
                <w:sz w:val="24"/>
                <w:szCs w:val="24"/>
                <w:highlight w:val="none"/>
                <w:lang w:val="en-US" w:eastAsia="zh-CN"/>
              </w:rPr>
              <w:t>12</w:t>
            </w:r>
          </w:p>
        </w:tc>
        <w:tc>
          <w:tcPr>
            <w:tcW w:w="1408" w:type="pct"/>
            <w:tcBorders>
              <w:top w:val="nil"/>
              <w:left w:val="nil"/>
              <w:bottom w:val="single" w:color="auto" w:sz="8" w:space="0"/>
              <w:right w:val="single" w:color="auto" w:sz="8" w:space="0"/>
            </w:tcBorders>
            <w:shd w:val="clear" w:color="auto" w:fill="auto"/>
            <w:vAlign w:val="center"/>
          </w:tcPr>
          <w:p w14:paraId="68804E8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城镇人均住房面积（平方米）</w:t>
            </w:r>
          </w:p>
        </w:tc>
        <w:tc>
          <w:tcPr>
            <w:tcW w:w="553" w:type="pct"/>
            <w:tcBorders>
              <w:top w:val="nil"/>
              <w:left w:val="nil"/>
              <w:bottom w:val="single" w:color="auto" w:sz="8" w:space="0"/>
              <w:right w:val="single" w:color="auto" w:sz="8" w:space="0"/>
            </w:tcBorders>
            <w:shd w:val="clear" w:color="auto" w:fill="auto"/>
            <w:vAlign w:val="center"/>
          </w:tcPr>
          <w:p w14:paraId="1D526CD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44.14</w:t>
            </w:r>
          </w:p>
        </w:tc>
        <w:tc>
          <w:tcPr>
            <w:tcW w:w="698" w:type="pct"/>
            <w:tcBorders>
              <w:top w:val="nil"/>
              <w:left w:val="nil"/>
              <w:bottom w:val="single" w:color="auto" w:sz="8" w:space="0"/>
              <w:right w:val="single" w:color="auto" w:sz="8" w:space="0"/>
            </w:tcBorders>
            <w:shd w:val="clear" w:color="auto" w:fill="auto"/>
            <w:vAlign w:val="center"/>
          </w:tcPr>
          <w:p w14:paraId="7E27148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47</w:t>
            </w:r>
          </w:p>
        </w:tc>
        <w:tc>
          <w:tcPr>
            <w:tcW w:w="698" w:type="pct"/>
            <w:tcBorders>
              <w:top w:val="nil"/>
              <w:left w:val="nil"/>
              <w:bottom w:val="single" w:color="auto" w:sz="8" w:space="0"/>
              <w:right w:val="single" w:color="auto" w:sz="8" w:space="0"/>
            </w:tcBorders>
            <w:shd w:val="clear" w:color="auto" w:fill="auto"/>
            <w:vAlign w:val="center"/>
          </w:tcPr>
          <w:p w14:paraId="3C4A77DF">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50</w:t>
            </w:r>
          </w:p>
        </w:tc>
        <w:tc>
          <w:tcPr>
            <w:tcW w:w="698" w:type="pct"/>
            <w:tcBorders>
              <w:top w:val="nil"/>
              <w:left w:val="nil"/>
              <w:bottom w:val="single" w:color="auto" w:sz="8" w:space="0"/>
              <w:right w:val="single" w:color="auto" w:sz="8" w:space="0"/>
            </w:tcBorders>
            <w:shd w:val="clear" w:color="auto" w:fill="auto"/>
            <w:vAlign w:val="center"/>
          </w:tcPr>
          <w:p w14:paraId="0FE58C2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14D8F03F">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0B2BB71C">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271C6C30">
            <w:pPr>
              <w:widowControl/>
              <w:adjustRightInd/>
              <w:snapToGrid/>
              <w:spacing w:line="280" w:lineRule="exact"/>
              <w:ind w:firstLine="0" w:firstLineChars="0"/>
              <w:jc w:val="center"/>
              <w:rPr>
                <w:rFonts w:hint="default" w:eastAsia="方正仿宋_GBK"/>
                <w:color w:val="auto"/>
                <w:kern w:val="0"/>
                <w:sz w:val="24"/>
                <w:szCs w:val="24"/>
                <w:highlight w:val="none"/>
                <w:lang w:val="en-US" w:eastAsia="zh-CN"/>
              </w:rPr>
            </w:pPr>
            <w:r>
              <w:rPr>
                <w:rFonts w:hint="eastAsia" w:eastAsia="方正仿宋_GBK"/>
                <w:color w:val="auto"/>
                <w:kern w:val="0"/>
                <w:sz w:val="24"/>
                <w:szCs w:val="24"/>
                <w:highlight w:val="none"/>
                <w:lang w:val="en-US" w:eastAsia="zh-CN"/>
              </w:rPr>
              <w:t>13</w:t>
            </w:r>
          </w:p>
        </w:tc>
        <w:tc>
          <w:tcPr>
            <w:tcW w:w="1408" w:type="pct"/>
            <w:tcBorders>
              <w:top w:val="nil"/>
              <w:left w:val="nil"/>
              <w:bottom w:val="single" w:color="auto" w:sz="8" w:space="0"/>
              <w:right w:val="single" w:color="auto" w:sz="8" w:space="0"/>
            </w:tcBorders>
            <w:shd w:val="clear" w:color="auto" w:fill="auto"/>
            <w:vAlign w:val="center"/>
          </w:tcPr>
          <w:p w14:paraId="086F3E1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每千人口医疗卫生机构床位数（张）</w:t>
            </w:r>
          </w:p>
        </w:tc>
        <w:tc>
          <w:tcPr>
            <w:tcW w:w="553" w:type="pct"/>
            <w:tcBorders>
              <w:top w:val="nil"/>
              <w:left w:val="nil"/>
              <w:bottom w:val="single" w:color="auto" w:sz="8" w:space="0"/>
              <w:right w:val="single" w:color="auto" w:sz="8" w:space="0"/>
            </w:tcBorders>
            <w:shd w:val="clear" w:color="auto" w:fill="auto"/>
            <w:vAlign w:val="center"/>
          </w:tcPr>
          <w:p w14:paraId="2EACB06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7.12</w:t>
            </w:r>
          </w:p>
        </w:tc>
        <w:tc>
          <w:tcPr>
            <w:tcW w:w="698" w:type="pct"/>
            <w:tcBorders>
              <w:top w:val="nil"/>
              <w:left w:val="nil"/>
              <w:bottom w:val="single" w:color="auto" w:sz="8" w:space="0"/>
              <w:right w:val="single" w:color="auto" w:sz="8" w:space="0"/>
            </w:tcBorders>
            <w:shd w:val="clear" w:color="auto" w:fill="auto"/>
            <w:vAlign w:val="center"/>
          </w:tcPr>
          <w:p w14:paraId="31F70E12">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7.67</w:t>
            </w:r>
          </w:p>
        </w:tc>
        <w:tc>
          <w:tcPr>
            <w:tcW w:w="698" w:type="pct"/>
            <w:tcBorders>
              <w:top w:val="nil"/>
              <w:left w:val="nil"/>
              <w:bottom w:val="single" w:color="auto" w:sz="8" w:space="0"/>
              <w:right w:val="single" w:color="auto" w:sz="8" w:space="0"/>
            </w:tcBorders>
            <w:shd w:val="clear" w:color="auto" w:fill="auto"/>
            <w:vAlign w:val="center"/>
          </w:tcPr>
          <w:p w14:paraId="6DE38F0B">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8.8</w:t>
            </w:r>
          </w:p>
        </w:tc>
        <w:tc>
          <w:tcPr>
            <w:tcW w:w="698" w:type="pct"/>
            <w:tcBorders>
              <w:top w:val="nil"/>
              <w:left w:val="nil"/>
              <w:bottom w:val="single" w:color="auto" w:sz="8" w:space="0"/>
              <w:right w:val="single" w:color="auto" w:sz="8" w:space="0"/>
            </w:tcBorders>
            <w:shd w:val="clear" w:color="auto" w:fill="auto"/>
            <w:vAlign w:val="center"/>
          </w:tcPr>
          <w:p w14:paraId="4DF39647">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r w14:paraId="1D8817D2">
        <w:tblPrEx>
          <w:tblCellMar>
            <w:top w:w="0" w:type="dxa"/>
            <w:left w:w="108" w:type="dxa"/>
            <w:bottom w:w="0" w:type="dxa"/>
            <w:right w:w="108" w:type="dxa"/>
          </w:tblCellMar>
        </w:tblPrEx>
        <w:trPr>
          <w:trHeight w:val="62" w:hRule="atLeast"/>
          <w:jc w:val="center"/>
        </w:trPr>
        <w:tc>
          <w:tcPr>
            <w:tcW w:w="507" w:type="pct"/>
            <w:vMerge w:val="continue"/>
            <w:tcBorders>
              <w:top w:val="nil"/>
              <w:left w:val="single" w:color="auto" w:sz="8" w:space="0"/>
              <w:bottom w:val="single" w:color="000000" w:sz="8" w:space="0"/>
              <w:right w:val="single" w:color="auto" w:sz="8" w:space="0"/>
            </w:tcBorders>
            <w:vAlign w:val="center"/>
          </w:tcPr>
          <w:p w14:paraId="61855B2E">
            <w:pPr>
              <w:widowControl/>
              <w:adjustRightInd/>
              <w:snapToGrid/>
              <w:spacing w:line="280" w:lineRule="exact"/>
              <w:ind w:firstLine="0" w:firstLineChars="0"/>
              <w:jc w:val="center"/>
              <w:rPr>
                <w:rFonts w:eastAsia="方正仿宋_GBK"/>
                <w:color w:val="auto"/>
                <w:kern w:val="0"/>
                <w:sz w:val="24"/>
                <w:szCs w:val="24"/>
                <w:highlight w:val="none"/>
              </w:rPr>
            </w:pPr>
          </w:p>
        </w:tc>
        <w:tc>
          <w:tcPr>
            <w:tcW w:w="438" w:type="pct"/>
            <w:tcBorders>
              <w:top w:val="nil"/>
              <w:left w:val="nil"/>
              <w:bottom w:val="single" w:color="auto" w:sz="8" w:space="0"/>
              <w:right w:val="single" w:color="auto" w:sz="8" w:space="0"/>
            </w:tcBorders>
            <w:shd w:val="clear" w:color="auto" w:fill="auto"/>
            <w:vAlign w:val="center"/>
          </w:tcPr>
          <w:p w14:paraId="5407D9B0">
            <w:pPr>
              <w:widowControl/>
              <w:adjustRightInd/>
              <w:snapToGrid/>
              <w:spacing w:line="280" w:lineRule="exact"/>
              <w:ind w:firstLine="0" w:firstLineChars="0"/>
              <w:jc w:val="center"/>
              <w:rPr>
                <w:rFonts w:hint="default" w:eastAsia="方正仿宋_GBK"/>
                <w:color w:val="auto"/>
                <w:kern w:val="0"/>
                <w:sz w:val="24"/>
                <w:szCs w:val="24"/>
                <w:highlight w:val="none"/>
                <w:lang w:val="en-US" w:eastAsia="zh-CN"/>
              </w:rPr>
            </w:pPr>
            <w:r>
              <w:rPr>
                <w:rFonts w:hint="eastAsia" w:eastAsia="方正仿宋_GBK"/>
                <w:color w:val="auto"/>
                <w:kern w:val="0"/>
                <w:sz w:val="24"/>
                <w:szCs w:val="24"/>
                <w:highlight w:val="none"/>
                <w:lang w:val="en-US" w:eastAsia="zh-CN"/>
              </w:rPr>
              <w:t>14</w:t>
            </w:r>
          </w:p>
        </w:tc>
        <w:tc>
          <w:tcPr>
            <w:tcW w:w="1408" w:type="pct"/>
            <w:tcBorders>
              <w:top w:val="nil"/>
              <w:left w:val="nil"/>
              <w:bottom w:val="single" w:color="auto" w:sz="8" w:space="0"/>
              <w:right w:val="single" w:color="auto" w:sz="8" w:space="0"/>
            </w:tcBorders>
            <w:shd w:val="clear" w:color="auto" w:fill="auto"/>
            <w:vAlign w:val="center"/>
          </w:tcPr>
          <w:p w14:paraId="4C3716F1">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农村生活垃圾处理率（%）</w:t>
            </w:r>
          </w:p>
        </w:tc>
        <w:tc>
          <w:tcPr>
            <w:tcW w:w="553" w:type="pct"/>
            <w:tcBorders>
              <w:top w:val="nil"/>
              <w:left w:val="nil"/>
              <w:bottom w:val="single" w:color="auto" w:sz="8" w:space="0"/>
              <w:right w:val="single" w:color="auto" w:sz="8" w:space="0"/>
            </w:tcBorders>
            <w:shd w:val="clear" w:color="auto" w:fill="auto"/>
            <w:vAlign w:val="center"/>
          </w:tcPr>
          <w:p w14:paraId="78780BD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63</w:t>
            </w:r>
          </w:p>
        </w:tc>
        <w:tc>
          <w:tcPr>
            <w:tcW w:w="698" w:type="pct"/>
            <w:tcBorders>
              <w:top w:val="nil"/>
              <w:left w:val="nil"/>
              <w:bottom w:val="single" w:color="auto" w:sz="8" w:space="0"/>
              <w:right w:val="single" w:color="auto" w:sz="8" w:space="0"/>
            </w:tcBorders>
            <w:shd w:val="clear" w:color="auto" w:fill="auto"/>
            <w:vAlign w:val="center"/>
          </w:tcPr>
          <w:p w14:paraId="306C2834">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≥90</w:t>
            </w:r>
          </w:p>
        </w:tc>
        <w:tc>
          <w:tcPr>
            <w:tcW w:w="698" w:type="pct"/>
            <w:tcBorders>
              <w:top w:val="nil"/>
              <w:left w:val="nil"/>
              <w:bottom w:val="single" w:color="auto" w:sz="8" w:space="0"/>
              <w:right w:val="single" w:color="auto" w:sz="8" w:space="0"/>
            </w:tcBorders>
            <w:shd w:val="clear" w:color="auto" w:fill="auto"/>
            <w:vAlign w:val="center"/>
          </w:tcPr>
          <w:p w14:paraId="404F23BD">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100</w:t>
            </w:r>
          </w:p>
        </w:tc>
        <w:tc>
          <w:tcPr>
            <w:tcW w:w="698" w:type="pct"/>
            <w:tcBorders>
              <w:top w:val="nil"/>
              <w:left w:val="nil"/>
              <w:bottom w:val="single" w:color="auto" w:sz="8" w:space="0"/>
              <w:right w:val="single" w:color="auto" w:sz="8" w:space="0"/>
            </w:tcBorders>
            <w:shd w:val="clear" w:color="auto" w:fill="auto"/>
            <w:vAlign w:val="center"/>
          </w:tcPr>
          <w:p w14:paraId="371AE320">
            <w:pPr>
              <w:widowControl/>
              <w:adjustRightInd/>
              <w:snapToGrid/>
              <w:spacing w:line="280" w:lineRule="exact"/>
              <w:ind w:firstLine="0" w:firstLineChars="0"/>
              <w:jc w:val="center"/>
              <w:rPr>
                <w:rFonts w:eastAsia="方正仿宋_GBK"/>
                <w:color w:val="auto"/>
                <w:kern w:val="0"/>
                <w:sz w:val="24"/>
                <w:szCs w:val="24"/>
                <w:highlight w:val="none"/>
              </w:rPr>
            </w:pPr>
            <w:r>
              <w:rPr>
                <w:rFonts w:eastAsia="方正仿宋_GBK"/>
                <w:color w:val="auto"/>
                <w:kern w:val="0"/>
                <w:sz w:val="24"/>
                <w:szCs w:val="24"/>
                <w:highlight w:val="none"/>
              </w:rPr>
              <w:t>预期性</w:t>
            </w:r>
          </w:p>
        </w:tc>
      </w:tr>
    </w:tbl>
    <w:p w14:paraId="09069AED">
      <w:pPr>
        <w:pStyle w:val="2"/>
        <w:overflowPunct w:val="0"/>
        <w:adjustRightInd/>
        <w:snapToGrid/>
        <w:spacing w:before="89" w:line="240" w:lineRule="auto"/>
        <w:rPr>
          <w:rFonts w:ascii="Times New Roman" w:eastAsia="方正仿宋_GBK"/>
          <w:color w:val="auto"/>
          <w:kern w:val="2"/>
          <w:sz w:val="21"/>
          <w:szCs w:val="21"/>
          <w:highlight w:val="none"/>
          <w:lang w:eastAsia="zh-CN"/>
        </w:rPr>
      </w:pPr>
      <w:r>
        <w:rPr>
          <w:rFonts w:hint="eastAsia" w:ascii="Times New Roman" w:eastAsia="方正仿宋_GBK"/>
          <w:color w:val="auto"/>
          <w:kern w:val="2"/>
          <w:sz w:val="21"/>
          <w:szCs w:val="21"/>
          <w:highlight w:val="none"/>
          <w:lang w:eastAsia="zh-CN"/>
        </w:rPr>
        <w:t>注：此表生态保护红线面积、永久基本农田保护面积、坝区耕地划入永久基本农田比例、耕地保有量、城镇开发边界扩展倍数指标为上级下达任务数。</w:t>
      </w:r>
    </w:p>
    <w:p w14:paraId="5D721C16">
      <w:pPr>
        <w:pStyle w:val="2"/>
        <w:rPr>
          <w:color w:val="auto"/>
          <w:highlight w:val="none"/>
          <w:lang w:val="zh-CN" w:eastAsia="zh-CN"/>
        </w:rPr>
      </w:pPr>
    </w:p>
    <w:p w14:paraId="7DAC5559">
      <w:pPr>
        <w:pStyle w:val="3"/>
        <w:ind w:left="0" w:firstLine="0" w:firstLineChars="0"/>
        <w:rPr>
          <w:color w:val="auto"/>
          <w:highlight w:val="none"/>
          <w:lang w:val="zh-CN"/>
        </w:rPr>
      </w:pPr>
    </w:p>
    <w:p w14:paraId="575343F9">
      <w:pPr>
        <w:pStyle w:val="2"/>
        <w:rPr>
          <w:color w:val="auto"/>
          <w:highlight w:val="none"/>
          <w:lang w:val="zh-CN" w:eastAsia="zh-CN"/>
        </w:rPr>
      </w:pPr>
    </w:p>
    <w:p w14:paraId="36468F89">
      <w:pPr>
        <w:pStyle w:val="3"/>
        <w:ind w:left="0" w:firstLine="0" w:firstLineChars="0"/>
        <w:rPr>
          <w:rFonts w:ascii="Times New Roman"/>
          <w:color w:val="auto"/>
          <w:highlight w:val="none"/>
          <w:lang w:val="zh-CN"/>
        </w:rPr>
        <w:sectPr>
          <w:pgSz w:w="11906" w:h="16838"/>
          <w:pgMar w:top="2041" w:right="1644" w:bottom="1871" w:left="1644" w:header="851" w:footer="992" w:gutter="0"/>
          <w:cols w:space="425" w:num="1"/>
          <w:docGrid w:type="linesAndChars" w:linePitch="312" w:charSpace="0"/>
        </w:sectPr>
      </w:pPr>
    </w:p>
    <w:p w14:paraId="740DD628">
      <w:pPr>
        <w:pStyle w:val="63"/>
        <w:rPr>
          <w:color w:val="auto"/>
          <w:highlight w:val="none"/>
        </w:rPr>
      </w:pPr>
      <w:bookmarkStart w:id="71" w:name="_Toc184639371"/>
      <w:bookmarkStart w:id="72" w:name="_Toc131433318"/>
      <w:bookmarkStart w:id="73" w:name="_Toc9970"/>
      <w:bookmarkStart w:id="74" w:name="_Toc131433152"/>
      <w:r>
        <w:rPr>
          <w:color w:val="auto"/>
          <w:highlight w:val="none"/>
        </w:rPr>
        <w:t>第三章 以</w:t>
      </w:r>
      <w:r>
        <w:rPr>
          <w:rFonts w:hint="eastAsia"/>
          <w:color w:val="auto"/>
          <w:highlight w:val="none"/>
        </w:rPr>
        <w:t>“</w:t>
      </w:r>
      <w:r>
        <w:rPr>
          <w:color w:val="auto"/>
          <w:highlight w:val="none"/>
        </w:rPr>
        <w:t>三区三线</w:t>
      </w:r>
      <w:r>
        <w:rPr>
          <w:rFonts w:hint="eastAsia"/>
          <w:color w:val="auto"/>
          <w:highlight w:val="none"/>
        </w:rPr>
        <w:t>”</w:t>
      </w:r>
      <w:r>
        <w:rPr>
          <w:color w:val="auto"/>
          <w:highlight w:val="none"/>
        </w:rPr>
        <w:t>为基础，构建国土空间新格局</w:t>
      </w:r>
      <w:bookmarkEnd w:id="51"/>
      <w:bookmarkEnd w:id="71"/>
      <w:bookmarkEnd w:id="72"/>
      <w:bookmarkEnd w:id="73"/>
      <w:bookmarkEnd w:id="74"/>
    </w:p>
    <w:p w14:paraId="51DDC4D3">
      <w:pPr>
        <w:pStyle w:val="5"/>
        <w:rPr>
          <w:color w:val="auto"/>
          <w:highlight w:val="none"/>
        </w:rPr>
      </w:pPr>
      <w:bookmarkStart w:id="75" w:name="_Toc184639372"/>
      <w:bookmarkStart w:id="76" w:name="_Toc131433319"/>
      <w:bookmarkStart w:id="77" w:name="_Toc28283"/>
      <w:bookmarkStart w:id="78" w:name="_Toc131433153"/>
      <w:bookmarkStart w:id="79" w:name="_Toc14355"/>
      <w:r>
        <w:rPr>
          <w:color w:val="auto"/>
          <w:highlight w:val="none"/>
        </w:rPr>
        <w:t>第一节 统筹划定</w:t>
      </w:r>
      <w:r>
        <w:rPr>
          <w:rFonts w:hint="eastAsia"/>
          <w:color w:val="auto"/>
          <w:highlight w:val="none"/>
        </w:rPr>
        <w:t>“</w:t>
      </w:r>
      <w:r>
        <w:rPr>
          <w:color w:val="auto"/>
          <w:highlight w:val="none"/>
        </w:rPr>
        <w:t>三区三线</w:t>
      </w:r>
      <w:r>
        <w:rPr>
          <w:rFonts w:hint="eastAsia"/>
          <w:color w:val="auto"/>
          <w:highlight w:val="none"/>
        </w:rPr>
        <w:t>”</w:t>
      </w:r>
      <w:bookmarkEnd w:id="75"/>
      <w:bookmarkEnd w:id="76"/>
      <w:bookmarkEnd w:id="77"/>
      <w:bookmarkEnd w:id="78"/>
    </w:p>
    <w:p w14:paraId="43D4BC14">
      <w:pPr>
        <w:ind w:firstLine="600"/>
        <w:rPr>
          <w:rFonts w:ascii="方正仿宋_GBK" w:eastAsia="方正仿宋_GBK"/>
          <w:color w:val="auto"/>
          <w:highlight w:val="none"/>
        </w:rPr>
      </w:pPr>
      <w:r>
        <w:rPr>
          <w:rFonts w:hint="eastAsia" w:eastAsia="方正仿宋_GBK"/>
          <w:color w:val="auto"/>
          <w:sz w:val="30"/>
          <w:szCs w:val="30"/>
          <w:highlight w:val="none"/>
        </w:rPr>
        <w:t>按照耕地和永久基本农田、生态保护红线、城镇开发边界的优先顺序统筹划定三条控制线，确保三条控制线不交叉、不重叠。以三条控制线围合的空间作为重点管控区域，在国土空间管控指标约束下，统筹优化农业、生态、城镇空间格局。</w:t>
      </w:r>
    </w:p>
    <w:p w14:paraId="5340148B">
      <w:pPr>
        <w:pStyle w:val="6"/>
        <w:rPr>
          <w:color w:val="auto"/>
          <w:highlight w:val="none"/>
        </w:rPr>
      </w:pPr>
      <w:r>
        <w:rPr>
          <w:color w:val="auto"/>
          <w:highlight w:val="none"/>
        </w:rPr>
        <w:t>一、优先划定耕地和永久基本农田保护红线</w:t>
      </w:r>
    </w:p>
    <w:p w14:paraId="5C610B0F">
      <w:pPr>
        <w:ind w:firstLine="600"/>
        <w:rPr>
          <w:color w:val="auto"/>
          <w:highlight w:val="none"/>
        </w:rPr>
      </w:pPr>
      <w:r>
        <w:rPr>
          <w:rFonts w:eastAsia="方正仿宋_GBK"/>
          <w:color w:val="auto"/>
          <w:sz w:val="30"/>
          <w:szCs w:val="30"/>
          <w:highlight w:val="none"/>
        </w:rPr>
        <w:t>现状耕地按照应划尽划、应保尽保的原则，优先确定耕地保护目标，将可以长期稳定利用耕地和坝区优质耕地优先划入永久基本农田实施特殊保护。</w:t>
      </w:r>
      <w:r>
        <w:rPr>
          <w:rFonts w:hint="eastAsia" w:eastAsia="方正仿宋_GBK"/>
          <w:color w:val="auto"/>
          <w:sz w:val="30"/>
          <w:szCs w:val="30"/>
          <w:highlight w:val="none"/>
        </w:rPr>
        <w:t>全州</w:t>
      </w:r>
      <w:r>
        <w:rPr>
          <w:rFonts w:hint="eastAsia" w:eastAsia="方正仿宋_GBK"/>
          <w:color w:val="auto"/>
          <w:sz w:val="30"/>
          <w:szCs w:val="30"/>
          <w:highlight w:val="none"/>
          <w:lang w:val="en-US" w:eastAsia="zh-CN"/>
        </w:rPr>
        <w:t>实际</w:t>
      </w:r>
      <w:r>
        <w:rPr>
          <w:rFonts w:hint="eastAsia" w:eastAsia="方正仿宋_GBK"/>
          <w:color w:val="auto"/>
          <w:sz w:val="30"/>
          <w:szCs w:val="30"/>
          <w:highlight w:val="none"/>
        </w:rPr>
        <w:t>划定耕地保有量492.3300万亩，划定永久基本农田保护面积366.0546万亩，其中划定坝区永久基本农田保护面积110.9228万亩。耕地和永久基本农田主要分布于金沙江干热河谷地带、元江流域、蜻蛉河大型灌区、绿汁江大型灌区周边，集中位于元谋坝子、罗次坝子等区域</w:t>
      </w:r>
      <w:r>
        <w:rPr>
          <w:rFonts w:eastAsia="方正仿宋_GBK"/>
          <w:color w:val="auto"/>
          <w:sz w:val="30"/>
          <w:szCs w:val="30"/>
          <w:highlight w:val="none"/>
        </w:rPr>
        <w:t>。</w:t>
      </w:r>
    </w:p>
    <w:p w14:paraId="11F2343D">
      <w:pPr>
        <w:ind w:firstLine="600"/>
        <w:rPr>
          <w:color w:val="auto"/>
          <w:highlight w:val="none"/>
        </w:rPr>
      </w:pPr>
      <w:r>
        <w:rPr>
          <w:rFonts w:hint="eastAsia" w:eastAsia="方正仿宋_GBK"/>
          <w:color w:val="auto"/>
          <w:sz w:val="30"/>
          <w:szCs w:val="30"/>
          <w:highlight w:val="none"/>
        </w:rPr>
        <w:t>已划定的永久基本农田，任何单位和个人不得擅自占用或改变用途。严格落实耕地用途管制制度，全面实行年度耕地“进出平衡”。优先保护城市周边和坝区优质耕地，稳妥有序恢复流向其他农用地的耕地。非农业建设不得“未批先建”，国家能源、交通、水利、军事设施等重点建设项目确实难以避让永久基本农田的，经依法批准，应在落实耕地占补平衡基础上，按照数量不减、质量不降原则，在可长期稳定利用的耕地上落实永久基本农田补划任务。</w:t>
      </w:r>
    </w:p>
    <w:p w14:paraId="13CAD052">
      <w:pPr>
        <w:pStyle w:val="6"/>
        <w:rPr>
          <w:color w:val="auto"/>
          <w:highlight w:val="none"/>
        </w:rPr>
      </w:pPr>
      <w:r>
        <w:rPr>
          <w:color w:val="auto"/>
          <w:highlight w:val="none"/>
        </w:rPr>
        <w:t>二、科学划定生态保护红线</w:t>
      </w:r>
    </w:p>
    <w:p w14:paraId="66A68A31">
      <w:pPr>
        <w:ind w:firstLine="600"/>
        <w:rPr>
          <w:color w:val="auto"/>
          <w:highlight w:val="none"/>
        </w:rPr>
      </w:pPr>
      <w:r>
        <w:rPr>
          <w:rFonts w:eastAsia="方正仿宋_GBK"/>
          <w:color w:val="auto"/>
          <w:sz w:val="30"/>
          <w:szCs w:val="30"/>
          <w:highlight w:val="none"/>
        </w:rPr>
        <w:t>将整合优化后的自然保护地，生态功能极重要、生态极脆弱区域，以及目前基本没有人类活动、具有潜在重要生态价值的生态空间，特别是水源涵养、</w:t>
      </w:r>
      <w:r>
        <w:rPr>
          <w:rFonts w:hint="eastAsia" w:eastAsia="方正仿宋_GBK"/>
          <w:color w:val="auto"/>
          <w:sz w:val="30"/>
          <w:szCs w:val="30"/>
          <w:highlight w:val="none"/>
          <w:lang w:eastAsia="zh-CN"/>
        </w:rPr>
        <w:t>生物多样性保护</w:t>
      </w:r>
      <w:r>
        <w:rPr>
          <w:rFonts w:eastAsia="方正仿宋_GBK"/>
          <w:color w:val="auto"/>
          <w:sz w:val="30"/>
          <w:szCs w:val="30"/>
          <w:highlight w:val="none"/>
        </w:rPr>
        <w:t>、水土保持等重点区域，按照</w:t>
      </w:r>
      <w:r>
        <w:rPr>
          <w:rFonts w:hint="eastAsia" w:eastAsia="方正仿宋_GBK"/>
          <w:color w:val="auto"/>
          <w:sz w:val="30"/>
          <w:szCs w:val="30"/>
          <w:highlight w:val="none"/>
        </w:rPr>
        <w:t>“</w:t>
      </w:r>
      <w:r>
        <w:rPr>
          <w:rFonts w:eastAsia="方正仿宋_GBK"/>
          <w:color w:val="auto"/>
          <w:sz w:val="30"/>
          <w:szCs w:val="30"/>
          <w:highlight w:val="none"/>
        </w:rPr>
        <w:t>应划尽划</w:t>
      </w:r>
      <w:r>
        <w:rPr>
          <w:rFonts w:hint="eastAsia" w:eastAsia="方正仿宋_GBK"/>
          <w:color w:val="auto"/>
          <w:sz w:val="30"/>
          <w:szCs w:val="30"/>
          <w:highlight w:val="none"/>
        </w:rPr>
        <w:t>”</w:t>
      </w:r>
      <w:r>
        <w:rPr>
          <w:rFonts w:eastAsia="方正仿宋_GBK"/>
          <w:color w:val="auto"/>
          <w:sz w:val="30"/>
          <w:szCs w:val="30"/>
          <w:highlight w:val="none"/>
        </w:rPr>
        <w:t>原则，划入生态保护红线。全州</w:t>
      </w:r>
      <w:r>
        <w:rPr>
          <w:rFonts w:hint="eastAsia" w:eastAsia="方正仿宋_GBK"/>
          <w:color w:val="auto"/>
          <w:sz w:val="30"/>
          <w:szCs w:val="30"/>
          <w:highlight w:val="none"/>
          <w:lang w:val="en-US" w:eastAsia="zh-CN"/>
        </w:rPr>
        <w:t>实际</w:t>
      </w:r>
      <w:r>
        <w:rPr>
          <w:rFonts w:eastAsia="方正仿宋_GBK"/>
          <w:color w:val="auto"/>
          <w:sz w:val="30"/>
          <w:szCs w:val="30"/>
          <w:highlight w:val="none"/>
        </w:rPr>
        <w:t>划定生态保护红线7215.65平方千米。</w:t>
      </w:r>
    </w:p>
    <w:p w14:paraId="1E1060AE">
      <w:pPr>
        <w:ind w:firstLine="600"/>
        <w:rPr>
          <w:color w:val="auto"/>
          <w:highlight w:val="none"/>
        </w:rPr>
      </w:pPr>
      <w:r>
        <w:rPr>
          <w:rFonts w:hint="eastAsia" w:eastAsia="方正仿宋_GBK"/>
          <w:color w:val="auto"/>
          <w:sz w:val="30"/>
          <w:szCs w:val="30"/>
          <w:highlight w:val="none"/>
        </w:rPr>
        <w:t>生态保护红线一经划定，未经批准，严禁擅自调整。自然保护地边界发生调整的，依据批准文件，对生态保护红线作相应调整，更新国土空间规划“一张图”。生态保护红线内自然保护地核心保护区外，禁止开发性、生产性建设活动，在符合法律法规的前提下，仅允许对生态功能不造成破坏的有限人为活动。生态保护红线内自然保护区、风景名胜区、饮用水水源保护区等区域，依照法律法规执行。</w:t>
      </w:r>
    </w:p>
    <w:p w14:paraId="7559B5BF">
      <w:pPr>
        <w:pStyle w:val="6"/>
        <w:rPr>
          <w:color w:val="auto"/>
          <w:highlight w:val="none"/>
        </w:rPr>
      </w:pPr>
      <w:r>
        <w:rPr>
          <w:color w:val="auto"/>
          <w:highlight w:val="none"/>
        </w:rPr>
        <w:t>三、合理划定城镇开发边界</w:t>
      </w:r>
    </w:p>
    <w:p w14:paraId="0D9E459E">
      <w:pPr>
        <w:ind w:firstLine="600"/>
        <w:rPr>
          <w:rFonts w:eastAsia="方正仿宋_GBK"/>
          <w:color w:val="auto"/>
          <w:sz w:val="30"/>
          <w:szCs w:val="30"/>
          <w:highlight w:val="none"/>
        </w:rPr>
      </w:pPr>
      <w:r>
        <w:rPr>
          <w:rFonts w:eastAsia="方正仿宋_GBK"/>
          <w:color w:val="auto"/>
          <w:sz w:val="30"/>
          <w:szCs w:val="30"/>
          <w:highlight w:val="none"/>
        </w:rPr>
        <w:t>在优先划定耕地和永久基本农田、生态保护红线的基础上，避让地质灾害极高风险区和高风险区等不适宜城镇建设区域，尊重自然地理格局、人口变化趋势、城镇化发展特征和存量建设用地现状，合理划定城镇开发边界</w:t>
      </w:r>
      <w:r>
        <w:rPr>
          <w:rFonts w:hint="eastAsia" w:eastAsia="方正仿宋_GBK"/>
          <w:color w:val="auto"/>
          <w:sz w:val="30"/>
          <w:szCs w:val="30"/>
          <w:highlight w:val="none"/>
        </w:rPr>
        <w:t>，</w:t>
      </w:r>
      <w:r>
        <w:rPr>
          <w:rFonts w:hint="default" w:eastAsia="方正仿宋_GBK"/>
          <w:color w:val="auto"/>
          <w:sz w:val="30"/>
          <w:szCs w:val="30"/>
          <w:highlight w:val="none"/>
          <w:lang w:val="en-US" w:eastAsia="zh-CN"/>
        </w:rPr>
        <w:t>楚雄州</w:t>
      </w:r>
      <w:r>
        <w:rPr>
          <w:rFonts w:hint="default" w:eastAsia="方正仿宋_GBK"/>
          <w:color w:val="auto"/>
          <w:sz w:val="30"/>
          <w:szCs w:val="30"/>
          <w:highlight w:val="none"/>
          <w:u w:val="none"/>
        </w:rPr>
        <w:t>城镇开发边界扩展倍数控制在基于2020年城镇建设用地规模的1.293倍以内</w:t>
      </w:r>
      <w:r>
        <w:rPr>
          <w:rFonts w:eastAsia="方正仿宋_GBK"/>
          <w:color w:val="auto"/>
          <w:sz w:val="30"/>
          <w:szCs w:val="30"/>
          <w:highlight w:val="none"/>
          <w:u w:val="none"/>
        </w:rPr>
        <w:t>。</w:t>
      </w:r>
    </w:p>
    <w:p w14:paraId="0BE1812A">
      <w:pPr>
        <w:ind w:firstLine="600"/>
        <w:rPr>
          <w:rFonts w:eastAsia="方正仿宋_GBK"/>
          <w:color w:val="auto"/>
          <w:sz w:val="30"/>
          <w:szCs w:val="30"/>
          <w:highlight w:val="none"/>
        </w:rPr>
      </w:pPr>
      <w:r>
        <w:rPr>
          <w:rFonts w:hint="eastAsia" w:eastAsia="方正仿宋_GBK"/>
          <w:color w:val="auto"/>
          <w:sz w:val="30"/>
          <w:szCs w:val="30"/>
          <w:highlight w:val="none"/>
        </w:rPr>
        <w:t>城镇开发边界内实施“详细规划</w:t>
      </w:r>
      <w:r>
        <w:rPr>
          <w:rFonts w:eastAsia="方正仿宋_GBK"/>
          <w:color w:val="auto"/>
          <w:sz w:val="30"/>
          <w:szCs w:val="30"/>
          <w:highlight w:val="none"/>
        </w:rPr>
        <w:t>+</w:t>
      </w:r>
      <w:r>
        <w:rPr>
          <w:rFonts w:hint="eastAsia" w:eastAsia="方正仿宋_GBK"/>
          <w:color w:val="auto"/>
          <w:sz w:val="30"/>
          <w:szCs w:val="30"/>
          <w:highlight w:val="none"/>
        </w:rPr>
        <w:t>规划许可”的管制方式，并加强与城市“四线”的协同管控。城镇开发边界外的建设，按照主导用途分区，实行“详细规划+规划许可”和“约束指标+分区准入”的管制方式。</w:t>
      </w:r>
    </w:p>
    <w:p w14:paraId="6524D5AA">
      <w:pPr>
        <w:pStyle w:val="5"/>
        <w:rPr>
          <w:color w:val="auto"/>
          <w:highlight w:val="none"/>
        </w:rPr>
      </w:pPr>
      <w:bookmarkStart w:id="80" w:name="_Toc18920"/>
      <w:bookmarkStart w:id="81" w:name="_Toc131433320"/>
      <w:bookmarkStart w:id="82" w:name="_Toc131433154"/>
      <w:bookmarkStart w:id="83" w:name="_Toc184639373"/>
      <w:r>
        <w:rPr>
          <w:color w:val="auto"/>
          <w:highlight w:val="none"/>
        </w:rPr>
        <w:t>第二节 落实细化主体功能区布局</w:t>
      </w:r>
      <w:bookmarkEnd w:id="79"/>
      <w:bookmarkEnd w:id="80"/>
      <w:bookmarkEnd w:id="81"/>
      <w:bookmarkEnd w:id="82"/>
      <w:bookmarkEnd w:id="83"/>
    </w:p>
    <w:p w14:paraId="5125B772">
      <w:pPr>
        <w:pStyle w:val="6"/>
        <w:rPr>
          <w:color w:val="auto"/>
          <w:highlight w:val="none"/>
        </w:rPr>
      </w:pPr>
      <w:r>
        <w:rPr>
          <w:rFonts w:hint="eastAsia"/>
          <w:color w:val="auto"/>
          <w:highlight w:val="none"/>
        </w:rPr>
        <w:t>一、构建国土空间开发保护总体格局</w:t>
      </w:r>
    </w:p>
    <w:p w14:paraId="2EFB5E57">
      <w:pPr>
        <w:ind w:firstLine="600"/>
        <w:rPr>
          <w:rFonts w:eastAsia="方正仿宋_GBK"/>
          <w:color w:val="auto"/>
          <w:sz w:val="30"/>
          <w:szCs w:val="30"/>
          <w:highlight w:val="none"/>
        </w:rPr>
      </w:pPr>
      <w:r>
        <w:rPr>
          <w:rFonts w:hint="eastAsia" w:eastAsia="方正仿宋_GBK"/>
          <w:color w:val="auto"/>
          <w:sz w:val="30"/>
          <w:szCs w:val="30"/>
          <w:highlight w:val="none"/>
        </w:rPr>
        <w:t>构建以“三区两屏两圈”为主体的</w:t>
      </w:r>
      <w:r>
        <w:rPr>
          <w:rFonts w:hint="eastAsia" w:eastAsia="方正仿宋_GBK"/>
          <w:color w:val="auto"/>
          <w:sz w:val="30"/>
          <w:szCs w:val="30"/>
          <w:highlight w:val="none"/>
          <w:lang w:eastAsia="zh-CN"/>
        </w:rPr>
        <w:t>国土空间总体格局</w:t>
      </w:r>
      <w:r>
        <w:rPr>
          <w:rFonts w:hint="eastAsia" w:eastAsia="方正仿宋_GBK"/>
          <w:color w:val="auto"/>
          <w:sz w:val="30"/>
          <w:szCs w:val="30"/>
          <w:highlight w:val="none"/>
        </w:rPr>
        <w:t>。落实国家主体功能区战略，以“三区三线”划定成果为基础，优化形成区域互补的主体功能区格局。巩固中部高原、西部高原、东部乌蒙山三个农产品主产区，提高重要农产品保障能力。筑牢南部哀牢山、北部两大生态屏障，提升重要地区生态系统功能。建设楚雄、禄丰两个城镇圈，以现代化的城镇圈提升中心城市发展能级，成为全州高质量发展的核心支撑。</w:t>
      </w:r>
    </w:p>
    <w:p w14:paraId="7C5F05D8">
      <w:pPr>
        <w:pStyle w:val="6"/>
        <w:rPr>
          <w:color w:val="auto"/>
          <w:highlight w:val="none"/>
        </w:rPr>
      </w:pPr>
      <w:r>
        <w:rPr>
          <w:rFonts w:hint="eastAsia"/>
          <w:color w:val="auto"/>
          <w:highlight w:val="none"/>
        </w:rPr>
        <w:t>二、落实并细化主体功能区</w:t>
      </w:r>
    </w:p>
    <w:p w14:paraId="6470324B">
      <w:pPr>
        <w:ind w:firstLine="600"/>
        <w:rPr>
          <w:rFonts w:eastAsia="方正仿宋_GBK"/>
          <w:color w:val="auto"/>
          <w:sz w:val="30"/>
          <w:szCs w:val="30"/>
          <w:highlight w:val="none"/>
        </w:rPr>
      </w:pPr>
      <w:r>
        <w:rPr>
          <w:rFonts w:eastAsia="方正仿宋_GBK"/>
          <w:color w:val="auto"/>
          <w:sz w:val="30"/>
          <w:szCs w:val="30"/>
          <w:highlight w:val="none"/>
        </w:rPr>
        <w:t>落实主体功能区战略，优化州域主体功能区</w:t>
      </w:r>
      <w:r>
        <w:rPr>
          <w:rFonts w:hint="eastAsia" w:eastAsia="方正仿宋_GBK"/>
          <w:color w:val="auto"/>
          <w:sz w:val="30"/>
          <w:szCs w:val="30"/>
          <w:highlight w:val="none"/>
        </w:rPr>
        <w:t>布局</w:t>
      </w:r>
      <w:r>
        <w:rPr>
          <w:rFonts w:eastAsia="方正仿宋_GBK"/>
          <w:color w:val="auto"/>
          <w:sz w:val="30"/>
          <w:szCs w:val="30"/>
          <w:highlight w:val="none"/>
        </w:rPr>
        <w:t>，以乡镇为基本空间单元，规划全州形成</w:t>
      </w:r>
      <w:r>
        <w:rPr>
          <w:rFonts w:hint="eastAsia" w:eastAsia="方正仿宋_GBK"/>
          <w:color w:val="auto"/>
          <w:sz w:val="30"/>
          <w:szCs w:val="30"/>
          <w:highlight w:val="none"/>
        </w:rPr>
        <w:t>“</w:t>
      </w:r>
      <w:r>
        <w:rPr>
          <w:rFonts w:eastAsia="方正仿宋_GBK"/>
          <w:color w:val="auto"/>
          <w:sz w:val="30"/>
          <w:szCs w:val="30"/>
          <w:highlight w:val="none"/>
        </w:rPr>
        <w:t>3+4</w:t>
      </w:r>
      <w:r>
        <w:rPr>
          <w:rFonts w:hint="eastAsia" w:eastAsia="方正仿宋_GBK"/>
          <w:color w:val="auto"/>
          <w:sz w:val="30"/>
          <w:szCs w:val="30"/>
          <w:highlight w:val="none"/>
        </w:rPr>
        <w:t>”</w:t>
      </w:r>
      <w:r>
        <w:rPr>
          <w:rFonts w:eastAsia="方正仿宋_GBK"/>
          <w:color w:val="auto"/>
          <w:sz w:val="30"/>
          <w:szCs w:val="30"/>
          <w:highlight w:val="none"/>
        </w:rPr>
        <w:t>主体功能</w:t>
      </w:r>
      <w:r>
        <w:rPr>
          <w:rFonts w:hint="eastAsia" w:eastAsia="方正仿宋_GBK"/>
          <w:color w:val="auto"/>
          <w:sz w:val="30"/>
          <w:szCs w:val="30"/>
          <w:highlight w:val="none"/>
        </w:rPr>
        <w:t>布局</w:t>
      </w:r>
      <w:r>
        <w:rPr>
          <w:rFonts w:eastAsia="方正仿宋_GBK"/>
          <w:color w:val="auto"/>
          <w:sz w:val="30"/>
          <w:szCs w:val="30"/>
          <w:highlight w:val="none"/>
        </w:rPr>
        <w:t>。全州划定4</w:t>
      </w:r>
      <w:r>
        <w:rPr>
          <w:rFonts w:hint="eastAsia" w:eastAsia="方正仿宋_GBK"/>
          <w:color w:val="auto"/>
          <w:sz w:val="30"/>
          <w:szCs w:val="30"/>
          <w:highlight w:val="none"/>
        </w:rPr>
        <w:t>1</w:t>
      </w:r>
      <w:r>
        <w:rPr>
          <w:rFonts w:eastAsia="方正仿宋_GBK"/>
          <w:color w:val="auto"/>
          <w:sz w:val="30"/>
          <w:szCs w:val="30"/>
          <w:highlight w:val="none"/>
        </w:rPr>
        <w:t>个城市化地区，1</w:t>
      </w:r>
      <w:r>
        <w:rPr>
          <w:rFonts w:hint="eastAsia" w:eastAsia="方正仿宋_GBK"/>
          <w:color w:val="auto"/>
          <w:sz w:val="30"/>
          <w:szCs w:val="30"/>
          <w:highlight w:val="none"/>
        </w:rPr>
        <w:t>8</w:t>
      </w:r>
      <w:r>
        <w:rPr>
          <w:rFonts w:eastAsia="方正仿宋_GBK"/>
          <w:color w:val="auto"/>
          <w:sz w:val="30"/>
          <w:szCs w:val="30"/>
          <w:highlight w:val="none"/>
        </w:rPr>
        <w:t>个农产品主产区，4</w:t>
      </w:r>
      <w:r>
        <w:rPr>
          <w:rFonts w:hint="eastAsia" w:eastAsia="方正仿宋_GBK"/>
          <w:color w:val="auto"/>
          <w:sz w:val="30"/>
          <w:szCs w:val="30"/>
          <w:highlight w:val="none"/>
        </w:rPr>
        <w:t>4</w:t>
      </w:r>
      <w:r>
        <w:rPr>
          <w:rFonts w:eastAsia="方正仿宋_GBK"/>
          <w:color w:val="auto"/>
          <w:sz w:val="30"/>
          <w:szCs w:val="30"/>
          <w:highlight w:val="none"/>
        </w:rPr>
        <w:t>个重点生态功能区。</w:t>
      </w:r>
      <w:r>
        <w:rPr>
          <w:rFonts w:hint="eastAsia" w:eastAsia="方正仿宋_GBK"/>
          <w:color w:val="auto"/>
          <w:sz w:val="30"/>
          <w:szCs w:val="30"/>
          <w:highlight w:val="none"/>
        </w:rPr>
        <w:t>依据</w:t>
      </w:r>
      <w:r>
        <w:rPr>
          <w:rFonts w:eastAsia="方正仿宋_GBK"/>
          <w:color w:val="auto"/>
          <w:sz w:val="30"/>
          <w:szCs w:val="30"/>
          <w:highlight w:val="none"/>
        </w:rPr>
        <w:t>发展战略、重点项目布局、历史文化、自然资源禀赋等情况，</w:t>
      </w:r>
      <w:r>
        <w:rPr>
          <w:rFonts w:hint="eastAsia" w:eastAsia="方正仿宋_GBK"/>
          <w:color w:val="auto"/>
          <w:sz w:val="30"/>
          <w:szCs w:val="30"/>
          <w:highlight w:val="none"/>
        </w:rPr>
        <w:t>叠加“</w:t>
      </w:r>
      <w:r>
        <w:rPr>
          <w:rFonts w:eastAsia="方正仿宋_GBK"/>
          <w:color w:val="auto"/>
          <w:sz w:val="30"/>
          <w:szCs w:val="30"/>
          <w:highlight w:val="none"/>
        </w:rPr>
        <w:t>重点小城镇</w:t>
      </w:r>
      <w:r>
        <w:rPr>
          <w:rFonts w:hint="eastAsia" w:eastAsia="方正仿宋_GBK"/>
          <w:color w:val="auto"/>
          <w:sz w:val="30"/>
          <w:szCs w:val="30"/>
          <w:highlight w:val="none"/>
        </w:rPr>
        <w:t>”“</w:t>
      </w:r>
      <w:r>
        <w:rPr>
          <w:rFonts w:eastAsia="方正仿宋_GBK"/>
          <w:color w:val="auto"/>
          <w:sz w:val="30"/>
          <w:szCs w:val="30"/>
          <w:highlight w:val="none"/>
        </w:rPr>
        <w:t>自然景观保护功能区</w:t>
      </w:r>
      <w:r>
        <w:rPr>
          <w:rFonts w:hint="eastAsia" w:eastAsia="方正仿宋_GBK"/>
          <w:color w:val="auto"/>
          <w:sz w:val="30"/>
          <w:szCs w:val="30"/>
          <w:highlight w:val="none"/>
        </w:rPr>
        <w:t>”“</w:t>
      </w:r>
      <w:r>
        <w:rPr>
          <w:rFonts w:eastAsia="方正仿宋_GBK"/>
          <w:color w:val="auto"/>
          <w:sz w:val="30"/>
          <w:szCs w:val="30"/>
          <w:highlight w:val="none"/>
        </w:rPr>
        <w:t>历史文化资源富集区</w:t>
      </w:r>
      <w:r>
        <w:rPr>
          <w:rFonts w:hint="eastAsia" w:eastAsia="方正仿宋_GBK"/>
          <w:color w:val="auto"/>
          <w:sz w:val="30"/>
          <w:szCs w:val="30"/>
          <w:highlight w:val="none"/>
        </w:rPr>
        <w:t>”</w:t>
      </w:r>
      <w:r>
        <w:rPr>
          <w:rFonts w:eastAsia="方正仿宋_GBK"/>
          <w:color w:val="auto"/>
          <w:sz w:val="30"/>
          <w:szCs w:val="30"/>
          <w:highlight w:val="none"/>
        </w:rPr>
        <w:t>和</w:t>
      </w:r>
      <w:r>
        <w:rPr>
          <w:rFonts w:hint="eastAsia" w:eastAsia="方正仿宋_GBK"/>
          <w:color w:val="auto"/>
          <w:sz w:val="30"/>
          <w:szCs w:val="30"/>
          <w:highlight w:val="none"/>
        </w:rPr>
        <w:t>“</w:t>
      </w:r>
      <w:r>
        <w:rPr>
          <w:rFonts w:eastAsia="方正仿宋_GBK"/>
          <w:color w:val="auto"/>
          <w:sz w:val="30"/>
          <w:szCs w:val="30"/>
          <w:highlight w:val="none"/>
        </w:rPr>
        <w:t>能源资源富集区</w:t>
      </w:r>
      <w:r>
        <w:rPr>
          <w:rFonts w:hint="eastAsia" w:eastAsia="方正仿宋_GBK"/>
          <w:color w:val="auto"/>
          <w:sz w:val="30"/>
          <w:szCs w:val="30"/>
          <w:highlight w:val="none"/>
        </w:rPr>
        <w:t>”</w:t>
      </w:r>
      <w:r>
        <w:rPr>
          <w:rFonts w:eastAsia="方正仿宋_GBK"/>
          <w:color w:val="auto"/>
          <w:sz w:val="30"/>
          <w:szCs w:val="30"/>
          <w:highlight w:val="none"/>
        </w:rPr>
        <w:t>4类功能。</w:t>
      </w:r>
    </w:p>
    <w:p w14:paraId="1E28589D">
      <w:pPr>
        <w:pStyle w:val="5"/>
        <w:rPr>
          <w:color w:val="auto"/>
          <w:highlight w:val="none"/>
        </w:rPr>
      </w:pPr>
      <w:bookmarkStart w:id="84" w:name="_Toc73380360"/>
      <w:bookmarkStart w:id="85" w:name="_Toc184639374"/>
      <w:bookmarkStart w:id="86" w:name="_Toc2742"/>
      <w:bookmarkStart w:id="87" w:name="_Toc131433155"/>
      <w:bookmarkStart w:id="88" w:name="_Toc131433321"/>
      <w:bookmarkStart w:id="89" w:name="_Toc73380359"/>
      <w:r>
        <w:rPr>
          <w:color w:val="auto"/>
          <w:highlight w:val="none"/>
        </w:rPr>
        <w:t xml:space="preserve">第三节 </w:t>
      </w:r>
      <w:bookmarkEnd w:id="84"/>
      <w:r>
        <w:rPr>
          <w:color w:val="auto"/>
          <w:highlight w:val="none"/>
        </w:rPr>
        <w:t>做优</w:t>
      </w:r>
      <w:r>
        <w:rPr>
          <w:rFonts w:hint="eastAsia"/>
          <w:color w:val="auto"/>
          <w:highlight w:val="none"/>
        </w:rPr>
        <w:t>“</w:t>
      </w:r>
      <w:r>
        <w:rPr>
          <w:color w:val="auto"/>
          <w:highlight w:val="none"/>
        </w:rPr>
        <w:t>三区两带</w:t>
      </w:r>
      <w:r>
        <w:rPr>
          <w:rFonts w:hint="eastAsia"/>
          <w:color w:val="auto"/>
          <w:highlight w:val="none"/>
        </w:rPr>
        <w:t>”</w:t>
      </w:r>
      <w:r>
        <w:rPr>
          <w:color w:val="auto"/>
          <w:highlight w:val="none"/>
        </w:rPr>
        <w:t>农业空间格局</w:t>
      </w:r>
      <w:bookmarkEnd w:id="85"/>
      <w:bookmarkEnd w:id="86"/>
      <w:bookmarkEnd w:id="87"/>
      <w:bookmarkEnd w:id="88"/>
    </w:p>
    <w:p w14:paraId="0CDC34E9">
      <w:pPr>
        <w:ind w:firstLine="600"/>
        <w:rPr>
          <w:color w:val="auto"/>
          <w:highlight w:val="none"/>
        </w:rPr>
      </w:pPr>
      <w:r>
        <w:rPr>
          <w:rFonts w:hint="eastAsia" w:eastAsia="方正仿宋_GBK"/>
          <w:color w:val="auto"/>
          <w:sz w:val="30"/>
          <w:szCs w:val="30"/>
          <w:highlight w:val="none"/>
        </w:rPr>
        <w:t>严格落实云南省“五区四带”中西部高原粮食主产区和金沙江河谷特色农产品产业带，以耕地和永久基本农田为依托，基于水土资源条件、粮食和主要农产品生产能力的空间格局，做优“三区两带”农业空间格局。</w:t>
      </w:r>
    </w:p>
    <w:p w14:paraId="76E6991F">
      <w:pPr>
        <w:pStyle w:val="6"/>
        <w:rPr>
          <w:color w:val="auto"/>
          <w:highlight w:val="none"/>
        </w:rPr>
      </w:pPr>
      <w:r>
        <w:rPr>
          <w:rFonts w:hint="eastAsia"/>
          <w:color w:val="auto"/>
          <w:highlight w:val="none"/>
        </w:rPr>
        <w:t>一</w:t>
      </w:r>
      <w:r>
        <w:rPr>
          <w:color w:val="auto"/>
          <w:highlight w:val="none"/>
        </w:rPr>
        <w:t>、三区</w:t>
      </w:r>
    </w:p>
    <w:p w14:paraId="078D293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中部高原特色现代农业粮食主产区。</w:t>
      </w:r>
      <w:r>
        <w:rPr>
          <w:rFonts w:eastAsia="方正仿宋_GBK"/>
          <w:color w:val="auto"/>
          <w:sz w:val="30"/>
          <w:szCs w:val="30"/>
          <w:highlight w:val="none"/>
        </w:rPr>
        <w:t>主要布局于楚雄市中部以及东北部、牟定南部、禄丰西部；重点发展粮食（优质高原粳稻）、畜禽、烤烟，打造高原粳稻种业、植物蛋白、牟定腐乳等高原特色现代农业基地。</w:t>
      </w:r>
    </w:p>
    <w:p w14:paraId="4D7396B9">
      <w:pPr>
        <w:ind w:firstLine="600"/>
        <w:rPr>
          <w:color w:val="auto"/>
          <w:sz w:val="30"/>
          <w:szCs w:val="30"/>
          <w:highlight w:val="none"/>
        </w:rPr>
      </w:pPr>
      <w:r>
        <w:rPr>
          <w:rFonts w:hint="eastAsia" w:ascii="方正楷体_GBK" w:eastAsia="方正楷体_GBK"/>
          <w:color w:val="auto"/>
          <w:sz w:val="30"/>
          <w:szCs w:val="30"/>
          <w:highlight w:val="none"/>
        </w:rPr>
        <w:t>西部高原粮食主产区。</w:t>
      </w:r>
      <w:r>
        <w:rPr>
          <w:rFonts w:hint="eastAsia" w:eastAsia="方正仿宋_GBK"/>
          <w:color w:val="auto"/>
          <w:sz w:val="30"/>
          <w:szCs w:val="30"/>
          <w:highlight w:val="none"/>
        </w:rPr>
        <w:t>主要布局于大姚县南部、姚安县中部、南华县中部和北部区域；重点种植水稻、玉米等粮食作物，适度发展核桃、野生菌、魔芋、花椒、板栗、烤烟等特色农产品。</w:t>
      </w:r>
    </w:p>
    <w:p w14:paraId="666A0C53">
      <w:pPr>
        <w:ind w:firstLine="600"/>
        <w:rPr>
          <w:rFonts w:eastAsia="楷体"/>
          <w:color w:val="auto"/>
          <w:sz w:val="30"/>
          <w:szCs w:val="30"/>
          <w:highlight w:val="none"/>
        </w:rPr>
      </w:pPr>
      <w:r>
        <w:rPr>
          <w:rFonts w:hint="eastAsia" w:ascii="方正楷体_GBK" w:eastAsia="方正楷体_GBK"/>
          <w:color w:val="auto"/>
          <w:sz w:val="30"/>
          <w:szCs w:val="30"/>
          <w:highlight w:val="none"/>
        </w:rPr>
        <w:t>东部乌蒙山粮食主产区。</w:t>
      </w:r>
      <w:r>
        <w:rPr>
          <w:rFonts w:eastAsia="方正仿宋_GBK"/>
          <w:color w:val="auto"/>
          <w:sz w:val="30"/>
          <w:szCs w:val="30"/>
          <w:highlight w:val="none"/>
        </w:rPr>
        <w:t>主要布局于武定县、禄丰市中部和东部区域；重点发展粮食、畜禽、花卉、烤烟</w:t>
      </w:r>
      <w:r>
        <w:rPr>
          <w:rFonts w:hint="eastAsia" w:eastAsia="方正仿宋_GBK"/>
          <w:color w:val="auto"/>
          <w:sz w:val="30"/>
          <w:szCs w:val="30"/>
          <w:highlight w:val="none"/>
        </w:rPr>
        <w:t>等特色农产品</w:t>
      </w:r>
      <w:r>
        <w:rPr>
          <w:rFonts w:eastAsia="方正仿宋_GBK"/>
          <w:color w:val="auto"/>
          <w:sz w:val="30"/>
          <w:szCs w:val="30"/>
          <w:highlight w:val="none"/>
        </w:rPr>
        <w:t>。</w:t>
      </w:r>
    </w:p>
    <w:p w14:paraId="0D67B32F">
      <w:pPr>
        <w:pStyle w:val="6"/>
        <w:rPr>
          <w:color w:val="auto"/>
          <w:highlight w:val="none"/>
        </w:rPr>
      </w:pPr>
      <w:r>
        <w:rPr>
          <w:rFonts w:hint="eastAsia"/>
          <w:color w:val="auto"/>
          <w:highlight w:val="none"/>
        </w:rPr>
        <w:t>二</w:t>
      </w:r>
      <w:r>
        <w:rPr>
          <w:color w:val="auto"/>
          <w:highlight w:val="none"/>
        </w:rPr>
        <w:t>、两带</w:t>
      </w:r>
    </w:p>
    <w:p w14:paraId="5E51BC2F">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金沙江干热河谷特色种业果蔬农业带。</w:t>
      </w:r>
      <w:r>
        <w:rPr>
          <w:rFonts w:eastAsia="方正仿宋_GBK"/>
          <w:color w:val="auto"/>
          <w:sz w:val="30"/>
          <w:szCs w:val="30"/>
          <w:highlight w:val="none"/>
        </w:rPr>
        <w:t>主要布局于元谋县、永仁县、武定</w:t>
      </w:r>
      <w:r>
        <w:rPr>
          <w:rFonts w:hint="eastAsia" w:eastAsia="方正仿宋_GBK"/>
          <w:color w:val="auto"/>
          <w:sz w:val="30"/>
          <w:szCs w:val="30"/>
          <w:highlight w:val="none"/>
        </w:rPr>
        <w:t>县</w:t>
      </w:r>
      <w:r>
        <w:rPr>
          <w:rFonts w:eastAsia="方正仿宋_GBK"/>
          <w:color w:val="auto"/>
          <w:sz w:val="30"/>
          <w:szCs w:val="30"/>
          <w:highlight w:val="none"/>
        </w:rPr>
        <w:t>金沙江流域</w:t>
      </w:r>
      <w:r>
        <w:rPr>
          <w:rFonts w:hint="eastAsia" w:eastAsia="方正仿宋_GBK"/>
          <w:color w:val="auto"/>
          <w:sz w:val="30"/>
          <w:szCs w:val="30"/>
          <w:highlight w:val="none"/>
        </w:rPr>
        <w:t>。</w:t>
      </w:r>
      <w:r>
        <w:rPr>
          <w:rFonts w:eastAsia="方正仿宋_GBK"/>
          <w:color w:val="auto"/>
          <w:sz w:val="30"/>
          <w:szCs w:val="30"/>
          <w:highlight w:val="none"/>
        </w:rPr>
        <w:t>重点发展蔬菜、水果、花卉、种业</w:t>
      </w:r>
      <w:r>
        <w:rPr>
          <w:rFonts w:hint="eastAsia" w:eastAsia="方正仿宋_GBK"/>
          <w:color w:val="auto"/>
          <w:sz w:val="30"/>
          <w:szCs w:val="30"/>
          <w:highlight w:val="none"/>
        </w:rPr>
        <w:t>，</w:t>
      </w:r>
      <w:r>
        <w:rPr>
          <w:rFonts w:eastAsia="方正仿宋_GBK"/>
          <w:color w:val="auto"/>
          <w:sz w:val="30"/>
          <w:szCs w:val="30"/>
          <w:highlight w:val="none"/>
        </w:rPr>
        <w:t>发展节水农业，加强与四川合作，积极融入长江上游特色农产品基地。做强种业，做优</w:t>
      </w:r>
      <w:r>
        <w:rPr>
          <w:rFonts w:hint="eastAsia" w:eastAsia="方正仿宋_GBK"/>
          <w:color w:val="auto"/>
          <w:sz w:val="30"/>
          <w:szCs w:val="30"/>
          <w:highlight w:val="none"/>
        </w:rPr>
        <w:t>“</w:t>
      </w:r>
      <w:r>
        <w:rPr>
          <w:rFonts w:eastAsia="方正仿宋_GBK"/>
          <w:color w:val="auto"/>
          <w:sz w:val="30"/>
          <w:szCs w:val="30"/>
          <w:highlight w:val="none"/>
        </w:rPr>
        <w:t>绿色果蔬</w:t>
      </w:r>
      <w:r>
        <w:rPr>
          <w:rFonts w:hint="eastAsia" w:eastAsia="方正仿宋_GBK"/>
          <w:color w:val="auto"/>
          <w:sz w:val="30"/>
          <w:szCs w:val="30"/>
          <w:highlight w:val="none"/>
        </w:rPr>
        <w:t>”</w:t>
      </w:r>
      <w:r>
        <w:rPr>
          <w:rFonts w:eastAsia="方正仿宋_GBK"/>
          <w:color w:val="auto"/>
          <w:sz w:val="30"/>
          <w:szCs w:val="30"/>
          <w:highlight w:val="none"/>
        </w:rPr>
        <w:t>，重点打造种业基地，建设全国</w:t>
      </w:r>
      <w:r>
        <w:rPr>
          <w:rFonts w:hint="eastAsia" w:eastAsia="方正仿宋_GBK"/>
          <w:color w:val="auto"/>
          <w:sz w:val="30"/>
          <w:szCs w:val="30"/>
          <w:highlight w:val="none"/>
        </w:rPr>
        <w:t>“</w:t>
      </w:r>
      <w:r>
        <w:rPr>
          <w:rFonts w:eastAsia="方正仿宋_GBK"/>
          <w:color w:val="auto"/>
          <w:sz w:val="30"/>
          <w:szCs w:val="30"/>
          <w:highlight w:val="none"/>
        </w:rPr>
        <w:t>南菜北运</w:t>
      </w:r>
      <w:r>
        <w:rPr>
          <w:rFonts w:hint="eastAsia" w:eastAsia="方正仿宋_GBK"/>
          <w:color w:val="auto"/>
          <w:sz w:val="30"/>
          <w:szCs w:val="30"/>
          <w:highlight w:val="none"/>
        </w:rPr>
        <w:t>”</w:t>
      </w:r>
      <w:r>
        <w:rPr>
          <w:rFonts w:eastAsia="方正仿宋_GBK"/>
          <w:color w:val="auto"/>
          <w:sz w:val="30"/>
          <w:szCs w:val="30"/>
          <w:highlight w:val="none"/>
        </w:rPr>
        <w:t>和</w:t>
      </w:r>
      <w:r>
        <w:rPr>
          <w:rFonts w:hint="eastAsia" w:eastAsia="方正仿宋_GBK"/>
          <w:color w:val="auto"/>
          <w:sz w:val="30"/>
          <w:szCs w:val="30"/>
          <w:highlight w:val="none"/>
        </w:rPr>
        <w:t>“</w:t>
      </w:r>
      <w:r>
        <w:rPr>
          <w:rFonts w:eastAsia="方正仿宋_GBK"/>
          <w:color w:val="auto"/>
          <w:sz w:val="30"/>
          <w:szCs w:val="30"/>
          <w:highlight w:val="none"/>
        </w:rPr>
        <w:t>滇菜外运</w:t>
      </w:r>
      <w:r>
        <w:rPr>
          <w:rFonts w:hint="eastAsia" w:eastAsia="方正仿宋_GBK"/>
          <w:color w:val="auto"/>
          <w:sz w:val="30"/>
          <w:szCs w:val="30"/>
          <w:highlight w:val="none"/>
        </w:rPr>
        <w:t>”</w:t>
      </w:r>
      <w:r>
        <w:rPr>
          <w:rFonts w:eastAsia="方正仿宋_GBK"/>
          <w:color w:val="auto"/>
          <w:sz w:val="30"/>
          <w:szCs w:val="30"/>
          <w:highlight w:val="none"/>
        </w:rPr>
        <w:t>主要商品蔬菜生产基地；建设滇中</w:t>
      </w:r>
      <w:r>
        <w:rPr>
          <w:rFonts w:hint="eastAsia" w:eastAsia="方正仿宋_GBK"/>
          <w:color w:val="auto"/>
          <w:sz w:val="30"/>
          <w:szCs w:val="30"/>
          <w:highlight w:val="none"/>
        </w:rPr>
        <w:t>“</w:t>
      </w:r>
      <w:r>
        <w:rPr>
          <w:rFonts w:eastAsia="方正仿宋_GBK"/>
          <w:color w:val="auto"/>
          <w:sz w:val="30"/>
          <w:szCs w:val="30"/>
          <w:highlight w:val="none"/>
        </w:rPr>
        <w:t>大果园</w:t>
      </w:r>
      <w:r>
        <w:rPr>
          <w:rFonts w:hint="eastAsia" w:eastAsia="方正仿宋_GBK"/>
          <w:color w:val="auto"/>
          <w:sz w:val="30"/>
          <w:szCs w:val="30"/>
          <w:highlight w:val="none"/>
        </w:rPr>
        <w:t>”</w:t>
      </w:r>
      <w:r>
        <w:rPr>
          <w:rFonts w:eastAsia="方正仿宋_GBK"/>
          <w:color w:val="auto"/>
          <w:sz w:val="30"/>
          <w:szCs w:val="30"/>
          <w:highlight w:val="none"/>
        </w:rPr>
        <w:t>、打造云南省</w:t>
      </w:r>
      <w:r>
        <w:rPr>
          <w:rFonts w:hint="eastAsia" w:eastAsia="方正仿宋_GBK"/>
          <w:color w:val="auto"/>
          <w:sz w:val="30"/>
          <w:szCs w:val="30"/>
          <w:highlight w:val="none"/>
        </w:rPr>
        <w:t>“</w:t>
      </w:r>
      <w:r>
        <w:rPr>
          <w:rFonts w:eastAsia="方正仿宋_GBK"/>
          <w:color w:val="auto"/>
          <w:sz w:val="30"/>
          <w:szCs w:val="30"/>
          <w:highlight w:val="none"/>
        </w:rPr>
        <w:t>西果东送</w:t>
      </w:r>
      <w:r>
        <w:rPr>
          <w:rFonts w:hint="eastAsia" w:eastAsia="方正仿宋_GBK"/>
          <w:color w:val="auto"/>
          <w:sz w:val="30"/>
          <w:szCs w:val="30"/>
          <w:highlight w:val="none"/>
        </w:rPr>
        <w:t>”</w:t>
      </w:r>
      <w:r>
        <w:rPr>
          <w:rFonts w:eastAsia="方正仿宋_GBK"/>
          <w:color w:val="auto"/>
          <w:sz w:val="30"/>
          <w:szCs w:val="30"/>
          <w:highlight w:val="none"/>
        </w:rPr>
        <w:t>优质水果产业基地，创建元谋国家现代农业产业园。</w:t>
      </w:r>
    </w:p>
    <w:p w14:paraId="00AD3410">
      <w:pPr>
        <w:ind w:firstLine="600"/>
        <w:rPr>
          <w:color w:val="auto"/>
          <w:sz w:val="30"/>
          <w:szCs w:val="30"/>
          <w:highlight w:val="none"/>
        </w:rPr>
      </w:pPr>
      <w:r>
        <w:rPr>
          <w:rFonts w:hint="eastAsia" w:ascii="方正楷体_GBK" w:eastAsia="方正楷体_GBK"/>
          <w:color w:val="auto"/>
          <w:sz w:val="30"/>
          <w:szCs w:val="30"/>
          <w:highlight w:val="none"/>
        </w:rPr>
        <w:t>元江流域特色农业带。</w:t>
      </w:r>
      <w:r>
        <w:rPr>
          <w:rFonts w:eastAsia="方正仿宋_GBK"/>
          <w:color w:val="auto"/>
          <w:sz w:val="30"/>
          <w:szCs w:val="30"/>
          <w:highlight w:val="none"/>
        </w:rPr>
        <w:t>主要布局于双柏县、楚雄市西南部、南华</w:t>
      </w:r>
      <w:r>
        <w:rPr>
          <w:rFonts w:hint="eastAsia" w:eastAsia="方正仿宋_GBK"/>
          <w:color w:val="auto"/>
          <w:sz w:val="30"/>
          <w:szCs w:val="30"/>
          <w:highlight w:val="none"/>
        </w:rPr>
        <w:t>县</w:t>
      </w:r>
      <w:r>
        <w:rPr>
          <w:rFonts w:eastAsia="方正仿宋_GBK"/>
          <w:color w:val="auto"/>
          <w:sz w:val="30"/>
          <w:szCs w:val="30"/>
          <w:highlight w:val="none"/>
        </w:rPr>
        <w:t>西南部区域</w:t>
      </w:r>
      <w:r>
        <w:rPr>
          <w:rFonts w:hint="eastAsia" w:eastAsia="方正仿宋_GBK"/>
          <w:color w:val="auto"/>
          <w:sz w:val="30"/>
          <w:szCs w:val="30"/>
          <w:highlight w:val="none"/>
        </w:rPr>
        <w:t>。</w:t>
      </w:r>
      <w:r>
        <w:rPr>
          <w:rFonts w:eastAsia="方正仿宋_GBK"/>
          <w:color w:val="auto"/>
          <w:sz w:val="30"/>
          <w:szCs w:val="30"/>
          <w:highlight w:val="none"/>
        </w:rPr>
        <w:t>重点发展中药材、粮食、畜禽、烤烟</w:t>
      </w:r>
      <w:r>
        <w:rPr>
          <w:rFonts w:hint="eastAsia" w:eastAsia="方正仿宋_GBK"/>
          <w:color w:val="auto"/>
          <w:sz w:val="30"/>
          <w:szCs w:val="30"/>
          <w:highlight w:val="none"/>
        </w:rPr>
        <w:t>，</w:t>
      </w:r>
      <w:r>
        <w:rPr>
          <w:rFonts w:hint="eastAsia" w:eastAsia="方正仿宋_GBK"/>
          <w:color w:val="auto"/>
          <w:sz w:val="30"/>
          <w:szCs w:val="30"/>
          <w:highlight w:val="none"/>
          <w:lang w:eastAsia="zh-CN"/>
        </w:rPr>
        <w:t>打</w:t>
      </w:r>
      <w:r>
        <w:rPr>
          <w:rFonts w:eastAsia="方正仿宋_GBK"/>
          <w:color w:val="auto"/>
          <w:sz w:val="30"/>
          <w:szCs w:val="30"/>
          <w:highlight w:val="none"/>
        </w:rPr>
        <w:t>响</w:t>
      </w:r>
      <w:r>
        <w:rPr>
          <w:rFonts w:hint="eastAsia" w:eastAsia="方正仿宋_GBK"/>
          <w:color w:val="auto"/>
          <w:sz w:val="30"/>
          <w:szCs w:val="30"/>
          <w:highlight w:val="none"/>
        </w:rPr>
        <w:t>“</w:t>
      </w:r>
      <w:r>
        <w:rPr>
          <w:rFonts w:eastAsia="方正仿宋_GBK"/>
          <w:color w:val="auto"/>
          <w:sz w:val="30"/>
          <w:szCs w:val="30"/>
          <w:highlight w:val="none"/>
        </w:rPr>
        <w:t>道地药材</w:t>
      </w:r>
      <w:r>
        <w:rPr>
          <w:rFonts w:hint="eastAsia" w:eastAsia="方正仿宋_GBK"/>
          <w:color w:val="auto"/>
          <w:sz w:val="30"/>
          <w:szCs w:val="30"/>
          <w:highlight w:val="none"/>
        </w:rPr>
        <w:t>”</w:t>
      </w:r>
      <w:r>
        <w:rPr>
          <w:rFonts w:eastAsia="方正仿宋_GBK"/>
          <w:color w:val="auto"/>
          <w:sz w:val="30"/>
          <w:szCs w:val="30"/>
          <w:highlight w:val="none"/>
        </w:rPr>
        <w:t>，建设</w:t>
      </w:r>
      <w:r>
        <w:rPr>
          <w:rFonts w:hint="eastAsia" w:eastAsia="方正仿宋_GBK"/>
          <w:color w:val="auto"/>
          <w:sz w:val="30"/>
          <w:szCs w:val="30"/>
          <w:highlight w:val="none"/>
        </w:rPr>
        <w:t>“</w:t>
      </w:r>
      <w:r>
        <w:rPr>
          <w:rFonts w:eastAsia="方正仿宋_GBK"/>
          <w:color w:val="auto"/>
          <w:sz w:val="30"/>
          <w:szCs w:val="30"/>
          <w:highlight w:val="none"/>
        </w:rPr>
        <w:t>国家药材生产基地</w:t>
      </w:r>
      <w:r>
        <w:rPr>
          <w:rFonts w:hint="eastAsia" w:eastAsia="方正仿宋_GBK"/>
          <w:color w:val="auto"/>
          <w:sz w:val="30"/>
          <w:szCs w:val="30"/>
          <w:highlight w:val="none"/>
        </w:rPr>
        <w:t>”</w:t>
      </w:r>
      <w:r>
        <w:rPr>
          <w:rFonts w:eastAsia="方正仿宋_GBK"/>
          <w:color w:val="auto"/>
          <w:sz w:val="30"/>
          <w:szCs w:val="30"/>
          <w:highlight w:val="none"/>
        </w:rPr>
        <w:t>。</w:t>
      </w:r>
    </w:p>
    <w:p w14:paraId="0FB30D40">
      <w:pPr>
        <w:pStyle w:val="5"/>
        <w:rPr>
          <w:b/>
          <w:color w:val="auto"/>
          <w:highlight w:val="none"/>
        </w:rPr>
      </w:pPr>
      <w:bookmarkStart w:id="90" w:name="_Toc131433156"/>
      <w:bookmarkStart w:id="91" w:name="_Toc184639375"/>
      <w:bookmarkStart w:id="92" w:name="_Toc21371"/>
      <w:bookmarkStart w:id="93" w:name="_Toc131433322"/>
      <w:r>
        <w:rPr>
          <w:color w:val="auto"/>
          <w:highlight w:val="none"/>
        </w:rPr>
        <w:t>第四节 构建</w:t>
      </w:r>
      <w:r>
        <w:rPr>
          <w:rFonts w:hint="eastAsia"/>
          <w:color w:val="auto"/>
          <w:highlight w:val="none"/>
        </w:rPr>
        <w:t>“</w:t>
      </w:r>
      <w:r>
        <w:rPr>
          <w:color w:val="auto"/>
          <w:highlight w:val="none"/>
        </w:rPr>
        <w:t>两屏两带四廊多点</w:t>
      </w:r>
      <w:r>
        <w:rPr>
          <w:rFonts w:hint="eastAsia"/>
          <w:color w:val="auto"/>
          <w:highlight w:val="none"/>
        </w:rPr>
        <w:t>”</w:t>
      </w:r>
      <w:r>
        <w:rPr>
          <w:color w:val="auto"/>
          <w:highlight w:val="none"/>
        </w:rPr>
        <w:t>生态安全格局</w:t>
      </w:r>
      <w:bookmarkEnd w:id="89"/>
      <w:bookmarkEnd w:id="90"/>
      <w:bookmarkEnd w:id="91"/>
      <w:bookmarkEnd w:id="92"/>
      <w:bookmarkEnd w:id="93"/>
    </w:p>
    <w:p w14:paraId="63101602">
      <w:pPr>
        <w:ind w:firstLine="600"/>
        <w:rPr>
          <w:rFonts w:eastAsia="方正仿宋_GBK"/>
          <w:color w:val="auto"/>
          <w:sz w:val="30"/>
          <w:szCs w:val="30"/>
          <w:highlight w:val="none"/>
        </w:rPr>
      </w:pPr>
      <w:r>
        <w:rPr>
          <w:rFonts w:hint="eastAsia" w:eastAsia="方正仿宋_GBK"/>
          <w:color w:val="auto"/>
          <w:sz w:val="30"/>
          <w:szCs w:val="30"/>
          <w:highlight w:val="none"/>
        </w:rPr>
        <w:t>严格落实云南省“三屏两带六廊多点”生态安全格局中的哀牢山—无量山生态屏障、以金沙江为主的干热河谷地带，依托全州生态资源分布，</w:t>
      </w:r>
      <w:r>
        <w:rPr>
          <w:rFonts w:hint="eastAsia" w:eastAsia="方正仿宋_GBK"/>
          <w:color w:val="auto"/>
          <w:sz w:val="30"/>
          <w:szCs w:val="30"/>
          <w:highlight w:val="none"/>
          <w:u w:val="none"/>
        </w:rPr>
        <w:t>构建“两屏两带四廊多点”生态安全格局。</w:t>
      </w:r>
    </w:p>
    <w:p w14:paraId="7B29342F">
      <w:pPr>
        <w:pStyle w:val="6"/>
        <w:rPr>
          <w:color w:val="auto"/>
          <w:highlight w:val="none"/>
        </w:rPr>
      </w:pPr>
      <w:r>
        <w:rPr>
          <w:color w:val="auto"/>
          <w:highlight w:val="none"/>
        </w:rPr>
        <w:t>一、两屏</w:t>
      </w:r>
    </w:p>
    <w:p w14:paraId="76C3F558">
      <w:pPr>
        <w:ind w:firstLine="600"/>
        <w:rPr>
          <w:rFonts w:ascii="方正仿宋_GBK" w:eastAsia="方正仿宋_GBK"/>
          <w:color w:val="auto"/>
          <w:sz w:val="30"/>
          <w:szCs w:val="30"/>
          <w:highlight w:val="none"/>
        </w:rPr>
      </w:pPr>
      <w:r>
        <w:rPr>
          <w:rFonts w:hint="eastAsia" w:ascii="方正楷体_GBK" w:eastAsia="方正楷体_GBK"/>
          <w:color w:val="auto"/>
          <w:sz w:val="30"/>
          <w:szCs w:val="30"/>
          <w:highlight w:val="none"/>
        </w:rPr>
        <w:t>南部哀牢山生态屏障。</w:t>
      </w:r>
      <w:r>
        <w:rPr>
          <w:rFonts w:hint="eastAsia" w:ascii="方正仿宋_GBK" w:eastAsia="方正仿宋_GBK"/>
          <w:color w:val="auto"/>
          <w:sz w:val="30"/>
          <w:szCs w:val="30"/>
          <w:highlight w:val="none"/>
        </w:rPr>
        <w:t>位于楚雄州西南部，呈东南</w:t>
      </w:r>
      <w:r>
        <w:rPr>
          <w:rFonts w:hint="eastAsia" w:ascii="方正仿宋_GBK" w:hAnsi="宋体" w:eastAsia="方正仿宋_GBK" w:cs="宋体"/>
          <w:color w:val="auto"/>
          <w:sz w:val="30"/>
          <w:szCs w:val="30"/>
          <w:highlight w:val="none"/>
        </w:rPr>
        <w:t>－</w:t>
      </w:r>
      <w:r>
        <w:rPr>
          <w:rFonts w:hint="eastAsia" w:ascii="方正仿宋_GBK" w:eastAsia="方正仿宋_GBK"/>
          <w:color w:val="auto"/>
          <w:sz w:val="30"/>
          <w:szCs w:val="30"/>
          <w:highlight w:val="none"/>
        </w:rPr>
        <w:t>西北带状分布，涉及南华县、楚雄市和双柏县。受东南季风和西南季风影响，干湿季分明。主要生态功能为生物多样性维护与水土保持功能，植被以季风常绿阔叶林、中山湿性常绿阔叶林等为代表。重点保护绿孔雀、西黑冠长臂猿、红豆杉、桫椤、水青树等珍稀动植物。主要涉及哀牢山－无量山山地生物多样性维护与水土保持生态保护红线。</w:t>
      </w:r>
    </w:p>
    <w:p w14:paraId="56A81DFD">
      <w:pPr>
        <w:ind w:firstLine="600"/>
        <w:rPr>
          <w:rFonts w:eastAsia="楷体"/>
          <w:color w:val="auto"/>
          <w:sz w:val="30"/>
          <w:szCs w:val="30"/>
          <w:highlight w:val="none"/>
        </w:rPr>
      </w:pPr>
      <w:r>
        <w:rPr>
          <w:rFonts w:ascii="方正楷体_GBK" w:eastAsia="方正楷体_GBK"/>
          <w:color w:val="auto"/>
          <w:sz w:val="30"/>
          <w:szCs w:val="30"/>
          <w:highlight w:val="none"/>
        </w:rPr>
        <w:t>北部生态屏障。</w:t>
      </w:r>
      <w:r>
        <w:rPr>
          <w:rFonts w:eastAsia="方正仿宋_GBK"/>
          <w:color w:val="auto"/>
          <w:sz w:val="30"/>
          <w:szCs w:val="30"/>
          <w:highlight w:val="none"/>
        </w:rPr>
        <w:t>位于楚雄州北部，呈面状沿楚雄州与丽江市边界分布，涉及大姚县和永仁县。地貌以中、低山地为主，宽谷众多，常年高温高湿</w:t>
      </w:r>
      <w:r>
        <w:rPr>
          <w:rFonts w:hint="eastAsia" w:eastAsia="方正仿宋_GBK"/>
          <w:color w:val="auto"/>
          <w:sz w:val="30"/>
          <w:szCs w:val="30"/>
          <w:highlight w:val="none"/>
        </w:rPr>
        <w:t>，</w:t>
      </w:r>
      <w:r>
        <w:rPr>
          <w:rFonts w:eastAsia="方正仿宋_GBK"/>
          <w:color w:val="auto"/>
          <w:sz w:val="30"/>
          <w:szCs w:val="30"/>
          <w:highlight w:val="none"/>
        </w:rPr>
        <w:t>主要生态功能为水土保持</w:t>
      </w:r>
      <w:r>
        <w:rPr>
          <w:rFonts w:hint="eastAsia" w:eastAsia="方正仿宋_GBK"/>
          <w:color w:val="auto"/>
          <w:sz w:val="30"/>
          <w:szCs w:val="30"/>
          <w:highlight w:val="none"/>
        </w:rPr>
        <w:t>。</w:t>
      </w:r>
      <w:r>
        <w:rPr>
          <w:rFonts w:eastAsia="方正仿宋_GBK"/>
          <w:color w:val="auto"/>
          <w:sz w:val="30"/>
          <w:szCs w:val="30"/>
          <w:highlight w:val="none"/>
        </w:rPr>
        <w:t>植被以中山湿性常绿阔叶林为代表</w:t>
      </w:r>
      <w:r>
        <w:rPr>
          <w:rFonts w:hint="eastAsia" w:eastAsia="方正仿宋_GBK"/>
          <w:color w:val="auto"/>
          <w:sz w:val="30"/>
          <w:szCs w:val="30"/>
          <w:highlight w:val="none"/>
        </w:rPr>
        <w:t>。</w:t>
      </w:r>
      <w:r>
        <w:rPr>
          <w:rFonts w:eastAsia="方正仿宋_GBK"/>
          <w:color w:val="auto"/>
          <w:sz w:val="30"/>
          <w:szCs w:val="30"/>
          <w:highlight w:val="none"/>
        </w:rPr>
        <w:t>重点保护秃杉、樟、红椿、龙棕、猕猴、黑熊等珍稀动植物。主要涉及金沙江干热河谷及山原水土保持生态保护红线。</w:t>
      </w:r>
    </w:p>
    <w:p w14:paraId="0A9357D8">
      <w:pPr>
        <w:pStyle w:val="6"/>
        <w:rPr>
          <w:color w:val="auto"/>
          <w:highlight w:val="none"/>
        </w:rPr>
      </w:pPr>
      <w:r>
        <w:rPr>
          <w:color w:val="auto"/>
          <w:highlight w:val="none"/>
        </w:rPr>
        <w:t>二、两带</w:t>
      </w:r>
    </w:p>
    <w:p w14:paraId="519DA048">
      <w:pPr>
        <w:ind w:firstLine="600"/>
        <w:rPr>
          <w:color w:val="auto"/>
          <w:sz w:val="30"/>
          <w:szCs w:val="30"/>
          <w:highlight w:val="none"/>
        </w:rPr>
      </w:pPr>
      <w:r>
        <w:rPr>
          <w:rFonts w:hint="eastAsia" w:ascii="方正楷体_GBK" w:eastAsia="方正楷体_GBK"/>
          <w:color w:val="auto"/>
          <w:sz w:val="30"/>
          <w:szCs w:val="30"/>
          <w:highlight w:val="none"/>
        </w:rPr>
        <w:t>金沙江干热河谷地带。</w:t>
      </w:r>
      <w:r>
        <w:rPr>
          <w:rFonts w:eastAsia="方正仿宋_GBK"/>
          <w:color w:val="auto"/>
          <w:sz w:val="30"/>
          <w:szCs w:val="30"/>
          <w:highlight w:val="none"/>
        </w:rPr>
        <w:t>位于滇川交界的金沙江河谷地带，涉及大姚县、永仁县、元谋县和武定县。以中山峡谷地貌为主，气候高温少雨；主要生态功能为水土保持与水土流失控制，植被以干热河谷</w:t>
      </w:r>
      <w:r>
        <w:rPr>
          <w:rFonts w:hint="eastAsia" w:eastAsia="方正仿宋_GBK"/>
          <w:color w:val="auto"/>
          <w:sz w:val="30"/>
          <w:szCs w:val="30"/>
          <w:highlight w:val="none"/>
        </w:rPr>
        <w:t>稀疏</w:t>
      </w:r>
      <w:r>
        <w:rPr>
          <w:rFonts w:eastAsia="方正仿宋_GBK"/>
          <w:color w:val="auto"/>
          <w:sz w:val="30"/>
          <w:szCs w:val="30"/>
          <w:highlight w:val="none"/>
        </w:rPr>
        <w:t>灌木草丛、干热河谷灌丛、暖温性针叶林等为代表。重点保护林麝、穿山甲、苏铁、红豆杉等珍稀动植物，主要涉及金沙江干热河谷及山原水土保持生态保护红线。</w:t>
      </w:r>
    </w:p>
    <w:p w14:paraId="271AC772">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元江干热河谷地带。</w:t>
      </w:r>
      <w:r>
        <w:rPr>
          <w:rFonts w:hint="eastAsia" w:eastAsia="方正仿宋_GBK"/>
          <w:color w:val="auto"/>
          <w:sz w:val="30"/>
          <w:szCs w:val="30"/>
          <w:highlight w:val="none"/>
        </w:rPr>
        <w:t>位于楚雄州西南部元江河谷地带，涉及楚雄市、双柏县以及南华县南部。受东南季风和西南季风影响，干湿季分明，主要生态功能为生物多样性维护和水土保持，植被以季风常绿阔叶林、中山湿性常绿阔叶林等为代表。重点保护绿孔雀、西黑冠长臂猿、红豆杉、桫椤、水青树、长蕊木兰等珍稀动植物。主要涉及哀牢山－无量山山地生物多样性维护与水土保持生态保护红线</w:t>
      </w:r>
      <w:r>
        <w:rPr>
          <w:rFonts w:eastAsia="方正仿宋_GBK"/>
          <w:color w:val="auto"/>
          <w:sz w:val="30"/>
          <w:szCs w:val="30"/>
          <w:highlight w:val="none"/>
        </w:rPr>
        <w:t>。</w:t>
      </w:r>
    </w:p>
    <w:p w14:paraId="4962195C">
      <w:pPr>
        <w:pStyle w:val="6"/>
        <w:rPr>
          <w:color w:val="auto"/>
          <w:highlight w:val="none"/>
        </w:rPr>
      </w:pPr>
      <w:r>
        <w:rPr>
          <w:color w:val="auto"/>
          <w:highlight w:val="none"/>
        </w:rPr>
        <w:t>三、</w:t>
      </w:r>
      <w:r>
        <w:rPr>
          <w:rFonts w:hint="eastAsia"/>
          <w:color w:val="auto"/>
          <w:highlight w:val="none"/>
        </w:rPr>
        <w:t>四</w:t>
      </w:r>
      <w:r>
        <w:rPr>
          <w:color w:val="auto"/>
          <w:highlight w:val="none"/>
        </w:rPr>
        <w:t>廊</w:t>
      </w:r>
    </w:p>
    <w:p w14:paraId="5373BA0F">
      <w:pPr>
        <w:ind w:firstLine="600"/>
        <w:rPr>
          <w:color w:val="auto"/>
          <w:sz w:val="30"/>
          <w:szCs w:val="30"/>
          <w:highlight w:val="none"/>
        </w:rPr>
      </w:pPr>
      <w:bookmarkStart w:id="94" w:name="_Toc19254"/>
      <w:bookmarkStart w:id="95" w:name="_Toc61799114"/>
      <w:bookmarkStart w:id="96" w:name="_Toc2644"/>
      <w:bookmarkStart w:id="97" w:name="_Hlk80367789"/>
      <w:r>
        <w:rPr>
          <w:rFonts w:hint="eastAsia" w:ascii="方正楷体_GBK" w:eastAsia="方正楷体_GBK"/>
          <w:color w:val="auto"/>
          <w:sz w:val="30"/>
          <w:szCs w:val="30"/>
          <w:highlight w:val="none"/>
        </w:rPr>
        <w:t>西部生物多样性保护廊道。</w:t>
      </w:r>
      <w:r>
        <w:rPr>
          <w:rFonts w:eastAsia="方正仿宋_GBK"/>
          <w:color w:val="auto"/>
          <w:sz w:val="30"/>
          <w:szCs w:val="30"/>
          <w:highlight w:val="none"/>
        </w:rPr>
        <w:t>位于楚雄州西部自北向南延伸，主要涉及大姚县、姚安县和牟定县。主要生态功能为生物多样性维护。主要联通北部生态屏障、石羊镇和妙峰山生态战略节点和中部水土保持廊道。</w:t>
      </w:r>
    </w:p>
    <w:p w14:paraId="19B5B0E9">
      <w:pPr>
        <w:ind w:firstLine="600"/>
        <w:rPr>
          <w:color w:val="auto"/>
          <w:sz w:val="30"/>
          <w:szCs w:val="30"/>
          <w:highlight w:val="none"/>
        </w:rPr>
      </w:pPr>
      <w:r>
        <w:rPr>
          <w:rFonts w:hint="eastAsia" w:ascii="方正楷体_GBK" w:eastAsia="方正楷体_GBK"/>
          <w:color w:val="auto"/>
          <w:sz w:val="30"/>
          <w:szCs w:val="30"/>
          <w:highlight w:val="none"/>
        </w:rPr>
        <w:t>中部水土保持廊道。</w:t>
      </w:r>
      <w:r>
        <w:rPr>
          <w:rFonts w:eastAsia="方正仿宋_GBK"/>
          <w:color w:val="auto"/>
          <w:sz w:val="30"/>
          <w:szCs w:val="30"/>
          <w:highlight w:val="none"/>
        </w:rPr>
        <w:t>位于楚雄州中部龙川江流域，主要涉及元谋县、牟定县、禄丰市、楚雄市和南华县。主要生态功能为水土保持。主要联通金沙江干热河谷地带、土林、雕翎山和黑树林山等生态战略节点、西部生物多样性保护廊道和南部水源涵养廊道。</w:t>
      </w:r>
    </w:p>
    <w:p w14:paraId="6A509DDA">
      <w:pPr>
        <w:ind w:firstLine="600"/>
        <w:rPr>
          <w:rFonts w:eastAsia="楷体"/>
          <w:color w:val="auto"/>
          <w:sz w:val="30"/>
          <w:szCs w:val="30"/>
          <w:highlight w:val="none"/>
        </w:rPr>
      </w:pPr>
      <w:r>
        <w:rPr>
          <w:rFonts w:hint="eastAsia" w:ascii="方正楷体_GBK" w:eastAsia="方正楷体_GBK"/>
          <w:color w:val="auto"/>
          <w:sz w:val="30"/>
          <w:szCs w:val="30"/>
          <w:highlight w:val="none"/>
        </w:rPr>
        <w:t>东部水土保持廊道。</w:t>
      </w:r>
      <w:r>
        <w:rPr>
          <w:rFonts w:hint="eastAsia" w:eastAsia="方正仿宋_GBK"/>
          <w:color w:val="auto"/>
          <w:sz w:val="30"/>
          <w:szCs w:val="30"/>
          <w:highlight w:val="none"/>
        </w:rPr>
        <w:t>位</w:t>
      </w:r>
      <w:r>
        <w:rPr>
          <w:rFonts w:eastAsia="方正仿宋_GBK"/>
          <w:color w:val="auto"/>
          <w:sz w:val="30"/>
          <w:szCs w:val="30"/>
          <w:highlight w:val="none"/>
        </w:rPr>
        <w:t>于楚雄州东部自东北向西南延伸，主要涉及武定县、禄丰市和双柏县。主要生态功能为水土保持。主要联通金沙江干热河谷地带、五台山、芋头地山和罗家凤山等生态战略节点和南部哀牢山生态屏障。</w:t>
      </w:r>
    </w:p>
    <w:p w14:paraId="31C4B1C7">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南部水源涵养廊道。</w:t>
      </w:r>
      <w:r>
        <w:rPr>
          <w:rFonts w:eastAsia="方正仿宋_GBK"/>
          <w:color w:val="auto"/>
          <w:sz w:val="30"/>
          <w:szCs w:val="30"/>
          <w:highlight w:val="none"/>
        </w:rPr>
        <w:t>位于楚雄州南部礼社江、绿汁江流域，主要涉及楚雄市、双柏县。主要生态功能为水源涵养，已建有恐龙河、紫溪山等自然保护地。主要联通中部水土保持廊道和南部哀牢山生态屏障。</w:t>
      </w:r>
    </w:p>
    <w:p w14:paraId="61E4E340">
      <w:pPr>
        <w:pStyle w:val="6"/>
        <w:rPr>
          <w:color w:val="auto"/>
          <w:highlight w:val="none"/>
        </w:rPr>
      </w:pPr>
      <w:r>
        <w:rPr>
          <w:color w:val="auto"/>
          <w:highlight w:val="none"/>
        </w:rPr>
        <w:t>四、多点</w:t>
      </w:r>
    </w:p>
    <w:p w14:paraId="24EF04CA">
      <w:pPr>
        <w:ind w:firstLine="600"/>
        <w:rPr>
          <w:rFonts w:eastAsia="方正仿宋_GBK"/>
          <w:color w:val="auto"/>
          <w:sz w:val="30"/>
          <w:szCs w:val="30"/>
          <w:highlight w:val="none"/>
        </w:rPr>
      </w:pPr>
      <w:r>
        <w:rPr>
          <w:rFonts w:hint="eastAsia" w:eastAsia="方正仿宋_GBK"/>
          <w:color w:val="auto"/>
          <w:sz w:val="30"/>
          <w:szCs w:val="30"/>
          <w:highlight w:val="none"/>
        </w:rPr>
        <w:t>以妙峰山、</w:t>
      </w:r>
      <w:r>
        <w:rPr>
          <w:rFonts w:eastAsia="方正仿宋_GBK"/>
          <w:color w:val="auto"/>
          <w:sz w:val="30"/>
          <w:szCs w:val="30"/>
          <w:highlight w:val="none"/>
        </w:rPr>
        <w:t>元谋土林</w:t>
      </w:r>
      <w:r>
        <w:rPr>
          <w:rFonts w:hint="eastAsia" w:eastAsia="方正仿宋_GBK"/>
          <w:color w:val="auto"/>
          <w:sz w:val="30"/>
          <w:szCs w:val="30"/>
          <w:highlight w:val="none"/>
        </w:rPr>
        <w:t>、</w:t>
      </w:r>
      <w:r>
        <w:rPr>
          <w:rFonts w:eastAsia="方正仿宋_GBK"/>
          <w:color w:val="auto"/>
          <w:sz w:val="30"/>
          <w:szCs w:val="30"/>
          <w:highlight w:val="none"/>
        </w:rPr>
        <w:t>三潭瀑布</w:t>
      </w:r>
      <w:r>
        <w:rPr>
          <w:rFonts w:hint="eastAsia" w:eastAsia="方正仿宋_GBK"/>
          <w:color w:val="auto"/>
          <w:sz w:val="30"/>
          <w:szCs w:val="30"/>
          <w:highlight w:val="none"/>
        </w:rPr>
        <w:t>、</w:t>
      </w:r>
      <w:r>
        <w:rPr>
          <w:rFonts w:eastAsia="方正仿宋_GBK"/>
          <w:color w:val="auto"/>
          <w:sz w:val="30"/>
          <w:szCs w:val="30"/>
          <w:highlight w:val="none"/>
        </w:rPr>
        <w:t>五台山</w:t>
      </w:r>
      <w:r>
        <w:rPr>
          <w:rFonts w:hint="eastAsia" w:eastAsia="方正仿宋_GBK"/>
          <w:color w:val="auto"/>
          <w:sz w:val="30"/>
          <w:szCs w:val="30"/>
          <w:highlight w:val="none"/>
        </w:rPr>
        <w:t>、</w:t>
      </w:r>
      <w:r>
        <w:rPr>
          <w:rFonts w:eastAsia="方正仿宋_GBK"/>
          <w:color w:val="auto"/>
          <w:sz w:val="30"/>
          <w:szCs w:val="30"/>
          <w:highlight w:val="none"/>
        </w:rPr>
        <w:t>雕翎山</w:t>
      </w:r>
      <w:r>
        <w:rPr>
          <w:rFonts w:hint="eastAsia" w:eastAsia="方正仿宋_GBK"/>
          <w:color w:val="auto"/>
          <w:sz w:val="30"/>
          <w:szCs w:val="30"/>
          <w:highlight w:val="none"/>
        </w:rPr>
        <w:t>、石羊镇、罗家凤山、芋头地山、黑树林山等为重要生态节点。</w:t>
      </w:r>
    </w:p>
    <w:p w14:paraId="00977A80">
      <w:pPr>
        <w:pStyle w:val="5"/>
        <w:rPr>
          <w:color w:val="auto"/>
          <w:highlight w:val="none"/>
        </w:rPr>
      </w:pPr>
      <w:bookmarkStart w:id="98" w:name="_Toc131433323"/>
      <w:bookmarkStart w:id="99" w:name="_Toc184639376"/>
      <w:bookmarkStart w:id="100" w:name="_Toc131433157"/>
      <w:r>
        <w:rPr>
          <w:color w:val="auto"/>
          <w:highlight w:val="none"/>
        </w:rPr>
        <w:t xml:space="preserve">第五节 </w:t>
      </w:r>
      <w:bookmarkEnd w:id="94"/>
      <w:bookmarkEnd w:id="95"/>
      <w:r>
        <w:rPr>
          <w:color w:val="auto"/>
          <w:highlight w:val="none"/>
        </w:rPr>
        <w:t>构建</w:t>
      </w:r>
      <w:r>
        <w:rPr>
          <w:rFonts w:hint="eastAsia"/>
          <w:color w:val="auto"/>
          <w:highlight w:val="none"/>
        </w:rPr>
        <w:t>“</w:t>
      </w:r>
      <w:r>
        <w:rPr>
          <w:color w:val="auto"/>
          <w:highlight w:val="none"/>
        </w:rPr>
        <w:t>两圈一组</w:t>
      </w:r>
      <w:r>
        <w:rPr>
          <w:rFonts w:hint="eastAsia"/>
          <w:color w:val="auto"/>
          <w:highlight w:val="none"/>
        </w:rPr>
        <w:t>”</w:t>
      </w:r>
      <w:r>
        <w:rPr>
          <w:color w:val="auto"/>
          <w:highlight w:val="none"/>
        </w:rPr>
        <w:t>城镇空间格局</w:t>
      </w:r>
      <w:bookmarkEnd w:id="96"/>
      <w:bookmarkEnd w:id="98"/>
      <w:bookmarkEnd w:id="99"/>
      <w:bookmarkEnd w:id="100"/>
    </w:p>
    <w:bookmarkEnd w:id="97"/>
    <w:p w14:paraId="4E432E0E">
      <w:pPr>
        <w:ind w:firstLine="600"/>
        <w:rPr>
          <w:b/>
          <w:color w:val="auto"/>
          <w:sz w:val="30"/>
          <w:szCs w:val="30"/>
          <w:highlight w:val="none"/>
        </w:rPr>
      </w:pPr>
      <w:r>
        <w:rPr>
          <w:rFonts w:hint="eastAsia" w:eastAsia="方正仿宋_GBK"/>
          <w:color w:val="auto"/>
          <w:sz w:val="30"/>
          <w:szCs w:val="30"/>
          <w:highlight w:val="none"/>
        </w:rPr>
        <w:t>融入云南省“一圈一群两翼一带”城镇空间格局中昆明都市圈和滇中城市群，全州“十四五”发展规划提出的打造滇中城市群副中心城市及新型城镇化发展战略。立足全州经济地理区位、资源禀赋特色、产业人口和城镇布局特征，构建“两圈一组”的城镇空间总体格局。</w:t>
      </w:r>
    </w:p>
    <w:p w14:paraId="024AB9B7">
      <w:pPr>
        <w:pStyle w:val="6"/>
        <w:rPr>
          <w:color w:val="auto"/>
          <w:highlight w:val="none"/>
        </w:rPr>
      </w:pPr>
      <w:r>
        <w:rPr>
          <w:color w:val="auto"/>
          <w:highlight w:val="none"/>
        </w:rPr>
        <w:t>一、建设楚雄城镇圈</w:t>
      </w:r>
    </w:p>
    <w:p w14:paraId="07C34C45">
      <w:pPr>
        <w:ind w:firstLine="600"/>
        <w:rPr>
          <w:rFonts w:eastAsia="方正仿宋_GBK"/>
          <w:color w:val="auto"/>
          <w:sz w:val="30"/>
          <w:szCs w:val="30"/>
          <w:highlight w:val="none"/>
        </w:rPr>
      </w:pPr>
      <w:r>
        <w:rPr>
          <w:rFonts w:eastAsia="方正仿宋_GBK"/>
          <w:color w:val="auto"/>
          <w:sz w:val="30"/>
          <w:szCs w:val="30"/>
          <w:highlight w:val="none"/>
        </w:rPr>
        <w:t>高质量支撑全省新型城镇化发展格局，将楚雄城镇圈建设成滇中城市群、成渝地区双城经济圈</w:t>
      </w:r>
      <w:r>
        <w:rPr>
          <w:rFonts w:hint="eastAsia" w:eastAsia="方正仿宋_GBK"/>
          <w:color w:val="auto"/>
          <w:sz w:val="30"/>
          <w:szCs w:val="30"/>
          <w:highlight w:val="none"/>
        </w:rPr>
        <w:t>、</w:t>
      </w:r>
      <w:r>
        <w:rPr>
          <w:rFonts w:eastAsia="方正仿宋_GBK"/>
          <w:color w:val="auto"/>
          <w:sz w:val="30"/>
          <w:szCs w:val="30"/>
          <w:highlight w:val="none"/>
        </w:rPr>
        <w:t>面向南亚东南亚通道上的转换枢纽，充分发挥其对全州建成滇中崛起增长极、绿色能源和绿色制造融合发展示范区、现代农业示范区、民族团结进步示范区的引领作用，建设滇中高原山地城市组团化和一体化的发展示范区。</w:t>
      </w:r>
    </w:p>
    <w:p w14:paraId="6A519BAD">
      <w:pPr>
        <w:pStyle w:val="6"/>
        <w:rPr>
          <w:color w:val="auto"/>
          <w:highlight w:val="none"/>
        </w:rPr>
      </w:pPr>
      <w:r>
        <w:rPr>
          <w:color w:val="auto"/>
          <w:highlight w:val="none"/>
        </w:rPr>
        <w:t>二、培育禄丰城镇圈</w:t>
      </w:r>
    </w:p>
    <w:p w14:paraId="57CE3DEA">
      <w:pPr>
        <w:ind w:firstLine="600"/>
        <w:rPr>
          <w:rFonts w:eastAsia="方正仿宋_GBK"/>
          <w:color w:val="auto"/>
          <w:sz w:val="30"/>
          <w:szCs w:val="30"/>
          <w:highlight w:val="none"/>
        </w:rPr>
      </w:pPr>
      <w:r>
        <w:rPr>
          <w:rFonts w:eastAsia="方正仿宋_GBK"/>
          <w:color w:val="auto"/>
          <w:sz w:val="30"/>
          <w:szCs w:val="30"/>
          <w:highlight w:val="none"/>
        </w:rPr>
        <w:t>全面提升禄丰城市发展能级，</w:t>
      </w:r>
      <w:r>
        <w:rPr>
          <w:rFonts w:hint="eastAsia" w:eastAsia="方正仿宋_GBK"/>
          <w:color w:val="auto"/>
          <w:sz w:val="30"/>
          <w:szCs w:val="30"/>
          <w:highlight w:val="none"/>
        </w:rPr>
        <w:t>携手武定率先融入滇中城市群一体化发展，加强</w:t>
      </w:r>
      <w:r>
        <w:rPr>
          <w:rFonts w:eastAsia="方正仿宋_GBK"/>
          <w:color w:val="auto"/>
          <w:sz w:val="30"/>
          <w:szCs w:val="30"/>
          <w:highlight w:val="none"/>
        </w:rPr>
        <w:t>与楚雄城镇圈和昆明都市圈区域对接合作</w:t>
      </w:r>
      <w:r>
        <w:rPr>
          <w:rFonts w:hint="eastAsia" w:eastAsia="方正仿宋_GBK"/>
          <w:color w:val="auto"/>
          <w:sz w:val="30"/>
          <w:szCs w:val="30"/>
          <w:highlight w:val="none"/>
        </w:rPr>
        <w:t>，</w:t>
      </w:r>
      <w:r>
        <w:rPr>
          <w:rFonts w:eastAsia="方正仿宋_GBK"/>
          <w:color w:val="auto"/>
          <w:sz w:val="30"/>
          <w:szCs w:val="30"/>
          <w:highlight w:val="none"/>
        </w:rPr>
        <w:t>积极融入滇中产业</w:t>
      </w:r>
      <w:r>
        <w:rPr>
          <w:rFonts w:hint="eastAsia" w:eastAsia="方正仿宋_GBK"/>
          <w:color w:val="auto"/>
          <w:sz w:val="30"/>
          <w:szCs w:val="30"/>
          <w:highlight w:val="none"/>
        </w:rPr>
        <w:t>聚集区（</w:t>
      </w:r>
      <w:r>
        <w:rPr>
          <w:rFonts w:eastAsia="方正仿宋_GBK"/>
          <w:color w:val="auto"/>
          <w:sz w:val="30"/>
          <w:szCs w:val="30"/>
          <w:highlight w:val="none"/>
        </w:rPr>
        <w:t>新区</w:t>
      </w:r>
      <w:r>
        <w:rPr>
          <w:rFonts w:hint="eastAsia" w:eastAsia="方正仿宋_GBK"/>
          <w:color w:val="auto"/>
          <w:sz w:val="30"/>
          <w:szCs w:val="30"/>
          <w:highlight w:val="none"/>
        </w:rPr>
        <w:t>），</w:t>
      </w:r>
      <w:r>
        <w:rPr>
          <w:rFonts w:eastAsia="方正仿宋_GBK"/>
          <w:color w:val="auto"/>
          <w:sz w:val="30"/>
          <w:szCs w:val="30"/>
          <w:highlight w:val="none"/>
        </w:rPr>
        <w:t>联动禄劝、安宁、易门，打造以禄丰市为中心的产业发展和人口聚集核心支撑区，</w:t>
      </w:r>
      <w:r>
        <w:rPr>
          <w:rFonts w:hint="eastAsia" w:eastAsia="方正仿宋_GBK"/>
          <w:color w:val="auto"/>
          <w:sz w:val="30"/>
          <w:szCs w:val="30"/>
          <w:highlight w:val="none"/>
        </w:rPr>
        <w:t>建设产城融合和城乡融合发展示范区。</w:t>
      </w:r>
    </w:p>
    <w:p w14:paraId="1E2A1127">
      <w:pPr>
        <w:pStyle w:val="6"/>
        <w:rPr>
          <w:color w:val="auto"/>
          <w:highlight w:val="none"/>
        </w:rPr>
      </w:pPr>
      <w:r>
        <w:rPr>
          <w:color w:val="auto"/>
          <w:highlight w:val="none"/>
        </w:rPr>
        <w:t>三、培育楚北城镇组团</w:t>
      </w:r>
    </w:p>
    <w:p w14:paraId="4EE0C229">
      <w:pPr>
        <w:ind w:firstLine="600"/>
        <w:rPr>
          <w:rFonts w:eastAsia="方正仿宋_GBK"/>
          <w:color w:val="auto"/>
          <w:sz w:val="30"/>
          <w:szCs w:val="30"/>
          <w:highlight w:val="none"/>
        </w:rPr>
      </w:pPr>
      <w:r>
        <w:rPr>
          <w:rFonts w:eastAsia="方正仿宋_GBK"/>
          <w:color w:val="auto"/>
          <w:sz w:val="30"/>
          <w:szCs w:val="30"/>
          <w:highlight w:val="none"/>
        </w:rPr>
        <w:t>引导楚北区域元谋、永仁、大姚、姚安</w:t>
      </w:r>
      <w:r>
        <w:rPr>
          <w:rFonts w:hint="eastAsia" w:eastAsia="方正仿宋_GBK"/>
          <w:color w:val="auto"/>
          <w:sz w:val="30"/>
          <w:szCs w:val="30"/>
          <w:highlight w:val="none"/>
        </w:rPr>
        <w:t>“</w:t>
      </w:r>
      <w:r>
        <w:rPr>
          <w:rFonts w:eastAsia="方正仿宋_GBK"/>
          <w:color w:val="auto"/>
          <w:sz w:val="30"/>
          <w:szCs w:val="30"/>
          <w:highlight w:val="none"/>
        </w:rPr>
        <w:t>抱团协作</w:t>
      </w:r>
      <w:r>
        <w:rPr>
          <w:rFonts w:hint="eastAsia" w:eastAsia="方正仿宋_GBK"/>
          <w:color w:val="auto"/>
          <w:sz w:val="30"/>
          <w:szCs w:val="30"/>
          <w:highlight w:val="none"/>
        </w:rPr>
        <w:t>”</w:t>
      </w:r>
      <w:r>
        <w:rPr>
          <w:rFonts w:eastAsia="方正仿宋_GBK"/>
          <w:color w:val="auto"/>
          <w:sz w:val="30"/>
          <w:szCs w:val="30"/>
          <w:highlight w:val="none"/>
        </w:rPr>
        <w:t>，强化滇川合作，加强同长江经济带、成渝地区以及省内大理、丽江等地的对接，主动承接成渝地区双城经济圈、攀西经济区等地区产业转移，建设省内重要的农产品生产基地，打造农业现代化示范样板，建设楚北滇川合作发展示范区。</w:t>
      </w:r>
    </w:p>
    <w:p w14:paraId="1F857331">
      <w:pPr>
        <w:pStyle w:val="11"/>
        <w:rPr>
          <w:color w:val="auto"/>
          <w:highlight w:val="none"/>
        </w:rPr>
      </w:pPr>
      <w:r>
        <w:rPr>
          <w:color w:val="auto"/>
          <w:highlight w:val="none"/>
        </w:rPr>
        <w:t>专栏</w:t>
      </w:r>
      <w:r>
        <w:rPr>
          <w:rFonts w:hint="eastAsia"/>
          <w:color w:val="auto"/>
          <w:highlight w:val="none"/>
          <w:lang w:val="en-US" w:eastAsia="zh-CN"/>
        </w:rPr>
        <w:t>2</w:t>
      </w:r>
      <w:r>
        <w:rPr>
          <w:color w:val="auto"/>
          <w:highlight w:val="none"/>
        </w:rPr>
        <w:t xml:space="preserve">  </w:t>
      </w:r>
      <w:r>
        <w:rPr>
          <w:rFonts w:hint="eastAsia" w:ascii="仿宋_GB2312"/>
          <w:color w:val="auto"/>
          <w:highlight w:val="none"/>
        </w:rPr>
        <w:t>“</w:t>
      </w:r>
      <w:r>
        <w:rPr>
          <w:color w:val="auto"/>
          <w:highlight w:val="none"/>
        </w:rPr>
        <w:t>两圈一组</w:t>
      </w:r>
      <w:r>
        <w:rPr>
          <w:rFonts w:hint="eastAsia" w:ascii="仿宋_GB2312"/>
          <w:color w:val="auto"/>
          <w:highlight w:val="none"/>
        </w:rPr>
        <w:t>”</w:t>
      </w:r>
      <w:r>
        <w:rPr>
          <w:color w:val="auto"/>
          <w:highlight w:val="none"/>
        </w:rPr>
        <w:t>空间范围</w:t>
      </w:r>
    </w:p>
    <w:tbl>
      <w:tblPr>
        <w:tblStyle w:val="3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776"/>
        <w:gridCol w:w="6094"/>
      </w:tblGrid>
      <w:tr w14:paraId="3AE1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379" w:type="dxa"/>
            <w:tcBorders>
              <w:tl2br w:val="nil"/>
              <w:tr2bl w:val="nil"/>
            </w:tcBorders>
            <w:vAlign w:val="center"/>
          </w:tcPr>
          <w:p w14:paraId="5DA0DF8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空间形态</w:t>
            </w:r>
          </w:p>
        </w:tc>
        <w:tc>
          <w:tcPr>
            <w:tcW w:w="1776" w:type="dxa"/>
            <w:tcBorders>
              <w:tl2br w:val="nil"/>
              <w:tr2bl w:val="nil"/>
            </w:tcBorders>
            <w:vAlign w:val="center"/>
          </w:tcPr>
          <w:p w14:paraId="7FAC889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名称</w:t>
            </w:r>
          </w:p>
        </w:tc>
        <w:tc>
          <w:tcPr>
            <w:tcW w:w="6094" w:type="dxa"/>
            <w:tcBorders>
              <w:tl2br w:val="nil"/>
              <w:tr2bl w:val="nil"/>
            </w:tcBorders>
            <w:vAlign w:val="center"/>
          </w:tcPr>
          <w:p w14:paraId="19004845">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空间范围</w:t>
            </w:r>
          </w:p>
        </w:tc>
      </w:tr>
      <w:tr w14:paraId="0C97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9" w:type="dxa"/>
            <w:vMerge w:val="restart"/>
            <w:tcBorders>
              <w:tl2br w:val="nil"/>
              <w:tr2bl w:val="nil"/>
            </w:tcBorders>
            <w:vAlign w:val="center"/>
          </w:tcPr>
          <w:p w14:paraId="6ED533B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两圈</w:t>
            </w:r>
          </w:p>
          <w:p w14:paraId="042DDAF6">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776" w:type="dxa"/>
            <w:tcBorders>
              <w:tl2br w:val="nil"/>
              <w:tr2bl w:val="nil"/>
            </w:tcBorders>
            <w:vAlign w:val="center"/>
          </w:tcPr>
          <w:p w14:paraId="6E35BCF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楚雄城镇圈</w:t>
            </w:r>
          </w:p>
        </w:tc>
        <w:tc>
          <w:tcPr>
            <w:tcW w:w="6094" w:type="dxa"/>
            <w:tcBorders>
              <w:tl2br w:val="nil"/>
              <w:tr2bl w:val="nil"/>
            </w:tcBorders>
            <w:vAlign w:val="center"/>
          </w:tcPr>
          <w:p w14:paraId="1EA0743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包括以楚雄市中心城区为中心形成半小时通勤圈，覆盖楚雄、南华、牟定</w:t>
            </w:r>
            <w:r>
              <w:rPr>
                <w:rFonts w:hint="eastAsia" w:eastAsia="方正仿宋_GBK"/>
                <w:color w:val="auto"/>
                <w:sz w:val="24"/>
                <w:szCs w:val="24"/>
                <w:highlight w:val="none"/>
              </w:rPr>
              <w:t>、双柏</w:t>
            </w:r>
            <w:r>
              <w:rPr>
                <w:rFonts w:eastAsia="方正仿宋_GBK"/>
                <w:color w:val="auto"/>
                <w:sz w:val="24"/>
                <w:szCs w:val="24"/>
                <w:highlight w:val="none"/>
              </w:rPr>
              <w:t>和禄丰市的广通镇等</w:t>
            </w:r>
          </w:p>
        </w:tc>
      </w:tr>
      <w:tr w14:paraId="7748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9" w:type="dxa"/>
            <w:vMerge w:val="continue"/>
            <w:tcBorders>
              <w:tl2br w:val="nil"/>
              <w:tr2bl w:val="nil"/>
            </w:tcBorders>
            <w:vAlign w:val="center"/>
          </w:tcPr>
          <w:p w14:paraId="343A5A01">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776" w:type="dxa"/>
            <w:tcBorders>
              <w:tl2br w:val="nil"/>
              <w:tr2bl w:val="nil"/>
            </w:tcBorders>
            <w:vAlign w:val="center"/>
          </w:tcPr>
          <w:p w14:paraId="3D9BAA4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禄丰城镇圈</w:t>
            </w:r>
          </w:p>
        </w:tc>
        <w:tc>
          <w:tcPr>
            <w:tcW w:w="6094" w:type="dxa"/>
            <w:tcBorders>
              <w:tl2br w:val="nil"/>
              <w:tr2bl w:val="nil"/>
            </w:tcBorders>
            <w:vAlign w:val="center"/>
          </w:tcPr>
          <w:p w14:paraId="17DF944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以禄丰市中心城区为中心形成半小时通勤圈，覆盖禄丰、武定，联动禄劝、安宁、易门等</w:t>
            </w:r>
          </w:p>
        </w:tc>
      </w:tr>
      <w:tr w14:paraId="1BCA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79" w:type="dxa"/>
            <w:tcBorders>
              <w:tl2br w:val="nil"/>
              <w:tr2bl w:val="nil"/>
            </w:tcBorders>
            <w:vAlign w:val="center"/>
          </w:tcPr>
          <w:p w14:paraId="20B32120">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一组</w:t>
            </w:r>
          </w:p>
        </w:tc>
        <w:tc>
          <w:tcPr>
            <w:tcW w:w="1776" w:type="dxa"/>
            <w:tcBorders>
              <w:tl2br w:val="nil"/>
              <w:tr2bl w:val="nil"/>
            </w:tcBorders>
            <w:vAlign w:val="center"/>
          </w:tcPr>
          <w:p w14:paraId="130A8A3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楚北城镇组团</w:t>
            </w:r>
          </w:p>
        </w:tc>
        <w:tc>
          <w:tcPr>
            <w:tcW w:w="6094" w:type="dxa"/>
            <w:tcBorders>
              <w:tl2br w:val="nil"/>
              <w:tr2bl w:val="nil"/>
            </w:tcBorders>
            <w:vAlign w:val="center"/>
          </w:tcPr>
          <w:p w14:paraId="16642AC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元谋、永仁、大姚、姚安</w:t>
            </w:r>
          </w:p>
        </w:tc>
      </w:tr>
    </w:tbl>
    <w:p w14:paraId="53CEDE3A">
      <w:pPr>
        <w:pStyle w:val="5"/>
        <w:rPr>
          <w:color w:val="auto"/>
          <w:highlight w:val="none"/>
        </w:rPr>
      </w:pPr>
      <w:bookmarkStart w:id="101" w:name="_Toc131433159"/>
      <w:bookmarkStart w:id="102" w:name="_Toc21845"/>
      <w:bookmarkStart w:id="103" w:name="_Toc131433325"/>
      <w:bookmarkStart w:id="104" w:name="_Toc73380363"/>
      <w:bookmarkStart w:id="105" w:name="_Toc184639377"/>
      <w:r>
        <w:rPr>
          <w:rFonts w:hint="eastAsia"/>
          <w:color w:val="auto"/>
          <w:highlight w:val="none"/>
        </w:rPr>
        <w:t>第六节</w:t>
      </w:r>
      <w:r>
        <w:rPr>
          <w:color w:val="auto"/>
          <w:highlight w:val="none"/>
        </w:rPr>
        <w:t xml:space="preserve"> </w:t>
      </w:r>
      <w:r>
        <w:rPr>
          <w:rFonts w:hint="eastAsia"/>
          <w:color w:val="auto"/>
          <w:highlight w:val="none"/>
        </w:rPr>
        <w:t>规划分区</w:t>
      </w:r>
      <w:bookmarkEnd w:id="101"/>
      <w:bookmarkEnd w:id="102"/>
      <w:bookmarkEnd w:id="103"/>
      <w:bookmarkEnd w:id="104"/>
      <w:bookmarkEnd w:id="105"/>
    </w:p>
    <w:p w14:paraId="42303F4C">
      <w:pPr>
        <w:ind w:firstLine="600"/>
        <w:rPr>
          <w:color w:val="auto"/>
          <w:sz w:val="30"/>
          <w:szCs w:val="30"/>
          <w:highlight w:val="none"/>
        </w:rPr>
      </w:pPr>
      <w:r>
        <w:rPr>
          <w:rFonts w:hint="eastAsia" w:eastAsia="方正仿宋_GBK"/>
          <w:color w:val="auto"/>
          <w:sz w:val="30"/>
          <w:szCs w:val="30"/>
          <w:highlight w:val="none"/>
        </w:rPr>
        <w:t>基于</w:t>
      </w:r>
      <w:r>
        <w:rPr>
          <w:rFonts w:hint="eastAsia" w:eastAsia="方正仿宋_GBK"/>
          <w:color w:val="auto"/>
          <w:sz w:val="30"/>
          <w:szCs w:val="30"/>
          <w:highlight w:val="none"/>
          <w:lang w:eastAsia="zh-CN"/>
        </w:rPr>
        <w:t>“三区三线”</w:t>
      </w:r>
      <w:r>
        <w:rPr>
          <w:rFonts w:hint="eastAsia" w:eastAsia="方正仿宋_GBK"/>
          <w:color w:val="auto"/>
          <w:sz w:val="30"/>
          <w:szCs w:val="30"/>
          <w:highlight w:val="none"/>
        </w:rPr>
        <w:t>、生态环境保护、经济布局、人口分布、国土利用等因素，突出主导功能，坚持全域统筹、城乡统筹、地上地下空间统筹，以国土空间保护与保留、开发与利用两大功能属性作为规划分区的基本方向。全州共划定</w:t>
      </w:r>
      <w:r>
        <w:rPr>
          <w:rFonts w:eastAsia="方正仿宋_GBK"/>
          <w:color w:val="auto"/>
          <w:sz w:val="30"/>
          <w:szCs w:val="30"/>
          <w:highlight w:val="none"/>
        </w:rPr>
        <w:t>6</w:t>
      </w:r>
      <w:r>
        <w:rPr>
          <w:rFonts w:hint="eastAsia" w:eastAsia="方正仿宋_GBK"/>
          <w:color w:val="auto"/>
          <w:sz w:val="30"/>
          <w:szCs w:val="30"/>
          <w:highlight w:val="none"/>
        </w:rPr>
        <w:t>个一级规划分区，分别为生态保护区、生态控制区、农田保护区、乡村发展区、城镇发展区和矿产能源发展区。</w:t>
      </w:r>
    </w:p>
    <w:p w14:paraId="4FF9137C">
      <w:pPr>
        <w:pStyle w:val="6"/>
        <w:rPr>
          <w:color w:val="auto"/>
          <w:highlight w:val="none"/>
        </w:rPr>
      </w:pPr>
      <w:r>
        <w:rPr>
          <w:rFonts w:hint="eastAsia"/>
          <w:color w:val="auto"/>
          <w:highlight w:val="none"/>
        </w:rPr>
        <w:t>一、生态保护区</w:t>
      </w:r>
    </w:p>
    <w:p w14:paraId="216D63D3">
      <w:pPr>
        <w:ind w:firstLine="600"/>
        <w:rPr>
          <w:rFonts w:eastAsia="方正仿宋_GBK"/>
          <w:color w:val="auto"/>
          <w:sz w:val="30"/>
          <w:szCs w:val="30"/>
          <w:highlight w:val="none"/>
        </w:rPr>
      </w:pPr>
      <w:r>
        <w:rPr>
          <w:rFonts w:hint="eastAsia" w:eastAsia="方正仿宋_GBK"/>
          <w:color w:val="auto"/>
          <w:sz w:val="30"/>
          <w:szCs w:val="30"/>
          <w:highlight w:val="none"/>
        </w:rPr>
        <w:t>全州共划定生态保护区占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w:t>
      </w:r>
      <w:r>
        <w:rPr>
          <w:rFonts w:eastAsia="方正仿宋_GBK"/>
          <w:color w:val="auto"/>
          <w:sz w:val="30"/>
          <w:szCs w:val="30"/>
          <w:highlight w:val="none"/>
        </w:rPr>
        <w:t>25.37%</w:t>
      </w:r>
      <w:r>
        <w:rPr>
          <w:rFonts w:hint="eastAsia" w:eastAsia="方正仿宋_GBK"/>
          <w:color w:val="auto"/>
          <w:sz w:val="30"/>
          <w:szCs w:val="30"/>
          <w:highlight w:val="none"/>
        </w:rPr>
        <w:t>。</w:t>
      </w:r>
    </w:p>
    <w:p w14:paraId="7C9B5F14">
      <w:pPr>
        <w:ind w:firstLine="600"/>
        <w:rPr>
          <w:rFonts w:eastAsia="方正仿宋_GBK"/>
          <w:color w:val="auto"/>
          <w:sz w:val="30"/>
          <w:szCs w:val="30"/>
          <w:highlight w:val="none"/>
        </w:rPr>
      </w:pPr>
      <w:r>
        <w:rPr>
          <w:rFonts w:hint="eastAsia" w:eastAsia="方正仿宋_GBK"/>
          <w:color w:val="auto"/>
          <w:sz w:val="30"/>
          <w:szCs w:val="30"/>
          <w:highlight w:val="none"/>
        </w:rPr>
        <w:t>管控要求。重点加强水源涵养、生物多样性维护、水土保持等功能。生态保护区内的土地利用按生态保护红线、自然保护地、饮用水源保护地等相关要求实行严格管控。</w:t>
      </w:r>
    </w:p>
    <w:p w14:paraId="6F9B82C4">
      <w:pPr>
        <w:pStyle w:val="6"/>
        <w:rPr>
          <w:color w:val="auto"/>
          <w:highlight w:val="none"/>
        </w:rPr>
      </w:pPr>
      <w:r>
        <w:rPr>
          <w:rFonts w:hint="eastAsia"/>
          <w:color w:val="auto"/>
          <w:highlight w:val="none"/>
        </w:rPr>
        <w:t>二、生态控制区</w:t>
      </w:r>
    </w:p>
    <w:p w14:paraId="3BF486D3">
      <w:pPr>
        <w:ind w:firstLine="600"/>
        <w:rPr>
          <w:rFonts w:eastAsia="方正仿宋_GBK"/>
          <w:color w:val="auto"/>
          <w:sz w:val="30"/>
          <w:szCs w:val="30"/>
          <w:highlight w:val="none"/>
        </w:rPr>
      </w:pPr>
      <w:r>
        <w:rPr>
          <w:rFonts w:hint="eastAsia" w:eastAsia="方正仿宋_GBK"/>
          <w:color w:val="auto"/>
          <w:sz w:val="30"/>
          <w:szCs w:val="30"/>
          <w:highlight w:val="none"/>
        </w:rPr>
        <w:t>全州共划定生态控制区占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w:t>
      </w:r>
      <w:r>
        <w:rPr>
          <w:rFonts w:eastAsia="方正仿宋_GBK"/>
          <w:color w:val="auto"/>
          <w:sz w:val="30"/>
          <w:szCs w:val="30"/>
          <w:highlight w:val="none"/>
        </w:rPr>
        <w:t>16.22%</w:t>
      </w:r>
      <w:r>
        <w:rPr>
          <w:rFonts w:hint="eastAsia" w:eastAsia="方正仿宋_GBK"/>
          <w:color w:val="auto"/>
          <w:sz w:val="30"/>
          <w:szCs w:val="30"/>
          <w:highlight w:val="none"/>
        </w:rPr>
        <w:t>。</w:t>
      </w:r>
    </w:p>
    <w:p w14:paraId="2EE51C9A">
      <w:pPr>
        <w:ind w:firstLine="600"/>
        <w:rPr>
          <w:color w:val="auto"/>
          <w:sz w:val="30"/>
          <w:szCs w:val="30"/>
          <w:highlight w:val="none"/>
        </w:rPr>
      </w:pPr>
      <w:r>
        <w:rPr>
          <w:rFonts w:hint="eastAsia" w:eastAsia="方正仿宋_GBK"/>
          <w:color w:val="auto"/>
          <w:sz w:val="30"/>
          <w:szCs w:val="30"/>
          <w:highlight w:val="none"/>
        </w:rPr>
        <w:t>管控要求。区内重点以生态保育及修复为主，严格控制破坏生态资源、影响生态功能的开发建设活动。遵守区内生态用地不减少、质量有提升的原则，严格遵守河道、天然林、公益林等各类生态空间保护要求，有序推进天然林、公益林并轨一体化保护管理，实施生态治理优先保障生态环境建设和发挥生态效益的土地供给。</w:t>
      </w:r>
    </w:p>
    <w:p w14:paraId="26871285">
      <w:pPr>
        <w:pStyle w:val="6"/>
        <w:rPr>
          <w:color w:val="auto"/>
          <w:highlight w:val="none"/>
        </w:rPr>
      </w:pPr>
      <w:r>
        <w:rPr>
          <w:rFonts w:hint="eastAsia"/>
          <w:color w:val="auto"/>
          <w:highlight w:val="none"/>
        </w:rPr>
        <w:t>三、农田保护区</w:t>
      </w:r>
    </w:p>
    <w:p w14:paraId="26DE323D">
      <w:pPr>
        <w:ind w:firstLine="600"/>
        <w:rPr>
          <w:rFonts w:eastAsia="方正仿宋_GBK"/>
          <w:color w:val="auto"/>
          <w:sz w:val="30"/>
          <w:szCs w:val="30"/>
          <w:highlight w:val="none"/>
        </w:rPr>
      </w:pPr>
      <w:r>
        <w:rPr>
          <w:rFonts w:hint="eastAsia" w:eastAsia="方正仿宋_GBK"/>
          <w:color w:val="auto"/>
          <w:sz w:val="30"/>
          <w:szCs w:val="30"/>
          <w:highlight w:val="none"/>
        </w:rPr>
        <w:t>全州共划定农田保护区占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w:t>
      </w:r>
      <w:r>
        <w:rPr>
          <w:rFonts w:eastAsia="方正仿宋_GBK"/>
          <w:color w:val="auto"/>
          <w:sz w:val="30"/>
          <w:szCs w:val="30"/>
          <w:highlight w:val="none"/>
        </w:rPr>
        <w:t>9.22%</w:t>
      </w:r>
      <w:r>
        <w:rPr>
          <w:rFonts w:hint="eastAsia" w:eastAsia="方正仿宋_GBK"/>
          <w:color w:val="auto"/>
          <w:sz w:val="30"/>
          <w:szCs w:val="30"/>
          <w:highlight w:val="none"/>
        </w:rPr>
        <w:t>。</w:t>
      </w:r>
    </w:p>
    <w:p w14:paraId="353A114C">
      <w:pPr>
        <w:ind w:firstLine="600"/>
        <w:rPr>
          <w:rFonts w:eastAsia="方正仿宋_GBK"/>
          <w:color w:val="auto"/>
          <w:sz w:val="30"/>
          <w:szCs w:val="30"/>
          <w:highlight w:val="none"/>
        </w:rPr>
      </w:pPr>
      <w:r>
        <w:rPr>
          <w:rFonts w:hint="eastAsia" w:eastAsia="方正仿宋_GBK"/>
          <w:color w:val="auto"/>
          <w:sz w:val="30"/>
          <w:szCs w:val="30"/>
          <w:highlight w:val="none"/>
        </w:rPr>
        <w:t>管控要求。严格管控非农建设占用基本农田，坚决防止永久基本农田“非农化”，加强永久基本农田用途管制，加强高标准农田建设和土地整治，提高永久基本农田质量。</w:t>
      </w:r>
    </w:p>
    <w:p w14:paraId="0FB660DC">
      <w:pPr>
        <w:pStyle w:val="6"/>
        <w:rPr>
          <w:color w:val="auto"/>
          <w:highlight w:val="none"/>
        </w:rPr>
      </w:pPr>
      <w:r>
        <w:rPr>
          <w:rFonts w:hint="eastAsia"/>
          <w:color w:val="auto"/>
          <w:highlight w:val="none"/>
        </w:rPr>
        <w:t>四、城镇发展区</w:t>
      </w:r>
    </w:p>
    <w:p w14:paraId="62AEA000">
      <w:pPr>
        <w:ind w:firstLine="600"/>
        <w:rPr>
          <w:rFonts w:eastAsia="方正仿宋_GBK"/>
          <w:color w:val="auto"/>
          <w:sz w:val="30"/>
          <w:szCs w:val="30"/>
          <w:highlight w:val="none"/>
        </w:rPr>
      </w:pPr>
      <w:r>
        <w:rPr>
          <w:rFonts w:hint="eastAsia" w:eastAsia="方正仿宋_GBK"/>
          <w:color w:val="auto"/>
          <w:sz w:val="30"/>
          <w:szCs w:val="30"/>
          <w:highlight w:val="none"/>
        </w:rPr>
        <w:t>全州共划定城镇发展区占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的比例为0.</w:t>
      </w:r>
      <w:r>
        <w:rPr>
          <w:rFonts w:eastAsia="方正仿宋_GBK"/>
          <w:color w:val="auto"/>
          <w:sz w:val="30"/>
          <w:szCs w:val="30"/>
          <w:highlight w:val="none"/>
        </w:rPr>
        <w:t>91%</w:t>
      </w:r>
      <w:r>
        <w:rPr>
          <w:rFonts w:hint="eastAsia" w:eastAsia="方正仿宋_GBK"/>
          <w:color w:val="auto"/>
          <w:sz w:val="30"/>
          <w:szCs w:val="30"/>
          <w:highlight w:val="none"/>
        </w:rPr>
        <w:t>。</w:t>
      </w:r>
    </w:p>
    <w:p w14:paraId="603D1629">
      <w:pPr>
        <w:ind w:firstLine="600"/>
        <w:rPr>
          <w:rFonts w:eastAsia="方正仿宋_GBK"/>
          <w:color w:val="auto"/>
          <w:sz w:val="30"/>
          <w:szCs w:val="30"/>
          <w:highlight w:val="none"/>
        </w:rPr>
      </w:pPr>
      <w:r>
        <w:rPr>
          <w:rFonts w:hint="eastAsia" w:eastAsia="方正仿宋_GBK"/>
          <w:color w:val="auto"/>
          <w:sz w:val="30"/>
          <w:szCs w:val="30"/>
          <w:highlight w:val="none"/>
        </w:rPr>
        <w:t>管控要求。城镇发展区内所有建设行为应按照详细规划进行精细化管理。其中：城镇集中建设区内应编制详细规划，采用“详细规划</w:t>
      </w:r>
      <w:r>
        <w:rPr>
          <w:rFonts w:eastAsia="方正仿宋_GBK"/>
          <w:color w:val="auto"/>
          <w:sz w:val="30"/>
          <w:szCs w:val="30"/>
          <w:highlight w:val="none"/>
        </w:rPr>
        <w:t>+</w:t>
      </w:r>
      <w:r>
        <w:rPr>
          <w:rFonts w:hint="eastAsia" w:eastAsia="方正仿宋_GBK"/>
          <w:color w:val="auto"/>
          <w:sz w:val="30"/>
          <w:szCs w:val="30"/>
          <w:highlight w:val="none"/>
        </w:rPr>
        <w:t>规划许可”的方式进行管理，对城镇建设用地的总量和单项指标严格管控，实施规划用途管制与开发许可制度，同时，加强与“四线”的协同管控，合理安排规划指标和年度计划，统筹增量与存量用地，提高土地集约节约利用水平。</w:t>
      </w:r>
    </w:p>
    <w:p w14:paraId="22880DE5">
      <w:pPr>
        <w:pStyle w:val="6"/>
        <w:rPr>
          <w:color w:val="auto"/>
          <w:highlight w:val="none"/>
        </w:rPr>
      </w:pPr>
      <w:r>
        <w:rPr>
          <w:rFonts w:hint="eastAsia"/>
          <w:color w:val="auto"/>
          <w:highlight w:val="none"/>
        </w:rPr>
        <w:t>五、矿产能源发展区</w:t>
      </w:r>
    </w:p>
    <w:p w14:paraId="5889CC5A">
      <w:pPr>
        <w:ind w:firstLine="600"/>
        <w:rPr>
          <w:rFonts w:eastAsia="方正仿宋_GBK"/>
          <w:color w:val="auto"/>
          <w:sz w:val="30"/>
          <w:szCs w:val="30"/>
          <w:highlight w:val="none"/>
        </w:rPr>
      </w:pPr>
      <w:r>
        <w:rPr>
          <w:rFonts w:hint="eastAsia" w:eastAsia="方正仿宋_GBK"/>
          <w:color w:val="auto"/>
          <w:sz w:val="30"/>
          <w:szCs w:val="30"/>
          <w:highlight w:val="none"/>
        </w:rPr>
        <w:t>全州共划定矿产能源发展区占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w:t>
      </w:r>
      <w:r>
        <w:rPr>
          <w:rFonts w:eastAsia="方正仿宋_GBK"/>
          <w:color w:val="auto"/>
          <w:sz w:val="30"/>
          <w:szCs w:val="30"/>
          <w:highlight w:val="none"/>
        </w:rPr>
        <w:t>2.26%</w:t>
      </w:r>
      <w:r>
        <w:rPr>
          <w:rFonts w:hint="eastAsia" w:eastAsia="方正仿宋_GBK"/>
          <w:color w:val="auto"/>
          <w:sz w:val="30"/>
          <w:szCs w:val="30"/>
          <w:highlight w:val="none"/>
        </w:rPr>
        <w:t>。</w:t>
      </w:r>
    </w:p>
    <w:p w14:paraId="39718172">
      <w:pPr>
        <w:ind w:firstLine="600"/>
        <w:rPr>
          <w:rFonts w:eastAsia="方正仿宋_GBK"/>
          <w:color w:val="auto"/>
          <w:sz w:val="30"/>
          <w:szCs w:val="30"/>
          <w:highlight w:val="none"/>
        </w:rPr>
      </w:pPr>
      <w:r>
        <w:rPr>
          <w:rFonts w:hint="eastAsia" w:eastAsia="方正仿宋_GBK"/>
          <w:color w:val="auto"/>
          <w:sz w:val="30"/>
          <w:szCs w:val="30"/>
          <w:highlight w:val="none"/>
        </w:rPr>
        <w:t>管控要求。矿产能源发展区应在符合国家和云南省关于矿业产业政策的前提下，依法依规办理用地手续，在符合涉及生态保护红线、永久基本农田和其他各类保护区的前提下合理开采，促进土地集约节约利用，保护区域内生态环境，避免造成地质灾害。</w:t>
      </w:r>
    </w:p>
    <w:p w14:paraId="527FC9B4">
      <w:pPr>
        <w:pStyle w:val="6"/>
        <w:rPr>
          <w:color w:val="auto"/>
          <w:highlight w:val="none"/>
        </w:rPr>
      </w:pPr>
      <w:r>
        <w:rPr>
          <w:rFonts w:hint="eastAsia"/>
          <w:color w:val="auto"/>
          <w:highlight w:val="none"/>
        </w:rPr>
        <w:t>六、乡村发展区</w:t>
      </w:r>
    </w:p>
    <w:p w14:paraId="0B69EFB0">
      <w:pPr>
        <w:ind w:firstLine="600"/>
        <w:rPr>
          <w:rFonts w:eastAsia="方正仿宋_GBK"/>
          <w:color w:val="auto"/>
          <w:sz w:val="30"/>
          <w:szCs w:val="30"/>
          <w:highlight w:val="none"/>
        </w:rPr>
      </w:pPr>
      <w:r>
        <w:rPr>
          <w:rFonts w:hint="eastAsia" w:eastAsia="方正仿宋_GBK"/>
          <w:color w:val="auto"/>
          <w:sz w:val="30"/>
          <w:szCs w:val="30"/>
          <w:highlight w:val="none"/>
        </w:rPr>
        <w:t>全州共划定</w:t>
      </w:r>
      <w:bookmarkStart w:id="106" w:name="_Hlk138005611"/>
      <w:r>
        <w:rPr>
          <w:rFonts w:hint="eastAsia" w:eastAsia="方正仿宋_GBK"/>
          <w:color w:val="auto"/>
          <w:sz w:val="30"/>
          <w:szCs w:val="30"/>
          <w:highlight w:val="none"/>
        </w:rPr>
        <w:t>乡村发展区</w:t>
      </w:r>
      <w:bookmarkEnd w:id="106"/>
      <w:r>
        <w:rPr>
          <w:rFonts w:hint="eastAsia" w:eastAsia="方正仿宋_GBK"/>
          <w:color w:val="auto"/>
          <w:sz w:val="30"/>
          <w:szCs w:val="30"/>
          <w:highlight w:val="none"/>
        </w:rPr>
        <w:t>占</w:t>
      </w:r>
      <w:r>
        <w:rPr>
          <w:rFonts w:hint="eastAsia" w:eastAsia="方正仿宋_GBK"/>
          <w:color w:val="auto"/>
          <w:sz w:val="30"/>
          <w:szCs w:val="30"/>
          <w:highlight w:val="none"/>
          <w:lang w:eastAsia="zh-CN"/>
        </w:rPr>
        <w:t>全州面积</w:t>
      </w:r>
      <w:r>
        <w:rPr>
          <w:rFonts w:hint="eastAsia" w:eastAsia="方正仿宋_GBK"/>
          <w:color w:val="auto"/>
          <w:sz w:val="30"/>
          <w:szCs w:val="30"/>
          <w:highlight w:val="none"/>
        </w:rPr>
        <w:t>的比例为</w:t>
      </w:r>
      <w:r>
        <w:rPr>
          <w:rFonts w:eastAsia="方正仿宋_GBK"/>
          <w:color w:val="auto"/>
          <w:sz w:val="30"/>
          <w:szCs w:val="30"/>
          <w:highlight w:val="none"/>
        </w:rPr>
        <w:t>46.02%</w:t>
      </w:r>
      <w:r>
        <w:rPr>
          <w:rFonts w:hint="eastAsia" w:eastAsia="方正仿宋_GBK"/>
          <w:color w:val="auto"/>
          <w:sz w:val="30"/>
          <w:szCs w:val="30"/>
          <w:highlight w:val="none"/>
        </w:rPr>
        <w:t>。</w:t>
      </w:r>
    </w:p>
    <w:p w14:paraId="7A1CD8A0">
      <w:pPr>
        <w:ind w:firstLine="600"/>
        <w:rPr>
          <w:color w:val="auto"/>
          <w:sz w:val="30"/>
          <w:szCs w:val="30"/>
          <w:highlight w:val="none"/>
        </w:rPr>
      </w:pPr>
      <w:r>
        <w:rPr>
          <w:rFonts w:hint="eastAsia" w:eastAsia="方正仿宋_GBK"/>
          <w:color w:val="auto"/>
          <w:sz w:val="30"/>
          <w:szCs w:val="30"/>
          <w:highlight w:val="none"/>
        </w:rPr>
        <w:t>管控要求。采用“详细规划</w:t>
      </w:r>
      <w:r>
        <w:rPr>
          <w:rFonts w:eastAsia="方正仿宋_GBK"/>
          <w:color w:val="auto"/>
          <w:sz w:val="30"/>
          <w:szCs w:val="30"/>
          <w:highlight w:val="none"/>
        </w:rPr>
        <w:t>+</w:t>
      </w:r>
      <w:r>
        <w:rPr>
          <w:rFonts w:hint="eastAsia" w:eastAsia="方正仿宋_GBK"/>
          <w:color w:val="auto"/>
          <w:sz w:val="30"/>
          <w:szCs w:val="30"/>
          <w:highlight w:val="none"/>
        </w:rPr>
        <w:t>规划许可”和“约束指标</w:t>
      </w:r>
      <w:r>
        <w:rPr>
          <w:rFonts w:eastAsia="方正仿宋_GBK"/>
          <w:color w:val="auto"/>
          <w:sz w:val="30"/>
          <w:szCs w:val="30"/>
          <w:highlight w:val="none"/>
        </w:rPr>
        <w:t>+</w:t>
      </w:r>
      <w:r>
        <w:rPr>
          <w:rFonts w:hint="eastAsia" w:eastAsia="方正仿宋_GBK"/>
          <w:color w:val="auto"/>
          <w:sz w:val="30"/>
          <w:szCs w:val="30"/>
          <w:highlight w:val="none"/>
        </w:rPr>
        <w:t>分区准入”的方式，依据具体土地用途类型进行管理。促进农业和乡村特色产业发展、改善农民生产生活条件为导向，按照户均村庄建设用地指标进行管控；村庄建设必须按照法定村庄规划实施乡村建设规划许可管理；鼓励改善农村人居环境而进行的村庄建设与整治。其他农业生产区要在保护生态环境的前提下，科学开展农业生产活动。</w:t>
      </w:r>
    </w:p>
    <w:p w14:paraId="3FAF59FA">
      <w:pPr>
        <w:pStyle w:val="5"/>
        <w:rPr>
          <w:color w:val="auto"/>
          <w:highlight w:val="none"/>
        </w:rPr>
      </w:pPr>
      <w:bookmarkStart w:id="107" w:name="_Toc184639378"/>
      <w:bookmarkStart w:id="108" w:name="_Toc73380364"/>
      <w:bookmarkStart w:id="109" w:name="_Toc131433326"/>
      <w:bookmarkStart w:id="110" w:name="_Toc131433160"/>
      <w:bookmarkStart w:id="111" w:name="_Toc2820"/>
      <w:r>
        <w:rPr>
          <w:color w:val="auto"/>
          <w:highlight w:val="none"/>
        </w:rPr>
        <w:t>第七节 用地结构优化</w:t>
      </w:r>
      <w:bookmarkEnd w:id="107"/>
      <w:bookmarkEnd w:id="108"/>
      <w:bookmarkEnd w:id="109"/>
      <w:bookmarkEnd w:id="110"/>
      <w:bookmarkEnd w:id="111"/>
    </w:p>
    <w:p w14:paraId="451B9C5E">
      <w:pPr>
        <w:ind w:firstLine="600"/>
        <w:rPr>
          <w:rFonts w:eastAsia="方正仿宋_GBK"/>
          <w:color w:val="auto"/>
          <w:sz w:val="30"/>
          <w:szCs w:val="30"/>
          <w:highlight w:val="none"/>
        </w:rPr>
      </w:pPr>
      <w:r>
        <w:rPr>
          <w:rFonts w:eastAsia="方正仿宋_GBK"/>
          <w:color w:val="auto"/>
          <w:sz w:val="30"/>
          <w:szCs w:val="30"/>
          <w:highlight w:val="none"/>
        </w:rPr>
        <w:t>落实最严格的耕地保护制度，加强永久基本农田保护，优先粮食和重要农产品供给，统筹安排耕地后备资源、</w:t>
      </w:r>
      <w:r>
        <w:rPr>
          <w:rFonts w:hint="eastAsia" w:eastAsia="方正仿宋_GBK"/>
          <w:color w:val="auto"/>
          <w:sz w:val="30"/>
          <w:szCs w:val="30"/>
          <w:highlight w:val="none"/>
        </w:rPr>
        <w:t>造林</w:t>
      </w:r>
      <w:r>
        <w:rPr>
          <w:rFonts w:eastAsia="方正仿宋_GBK"/>
          <w:color w:val="auto"/>
          <w:sz w:val="30"/>
          <w:szCs w:val="30"/>
          <w:highlight w:val="none"/>
        </w:rPr>
        <w:t>绿化空间、林地后备资源等，严守耕地保护目标，提升森林覆盖率。至2035年，全州耕地</w:t>
      </w:r>
      <w:r>
        <w:rPr>
          <w:rFonts w:hint="eastAsia" w:eastAsia="方正仿宋_GBK"/>
          <w:color w:val="auto"/>
          <w:sz w:val="30"/>
          <w:szCs w:val="30"/>
          <w:highlight w:val="none"/>
        </w:rPr>
        <w:t>保有量</w:t>
      </w:r>
      <w:r>
        <w:rPr>
          <w:rFonts w:eastAsia="方正仿宋_GBK"/>
          <w:color w:val="auto"/>
          <w:sz w:val="30"/>
          <w:szCs w:val="30"/>
          <w:highlight w:val="none"/>
        </w:rPr>
        <w:t>不低于</w:t>
      </w:r>
      <w:r>
        <w:rPr>
          <w:rFonts w:hint="eastAsia" w:eastAsia="方正仿宋_GBK"/>
          <w:color w:val="auto"/>
          <w:sz w:val="30"/>
          <w:szCs w:val="30"/>
          <w:highlight w:val="none"/>
        </w:rPr>
        <w:t>云南</w:t>
      </w:r>
      <w:r>
        <w:rPr>
          <w:rFonts w:eastAsia="方正仿宋_GBK"/>
          <w:color w:val="auto"/>
          <w:sz w:val="30"/>
          <w:szCs w:val="30"/>
          <w:highlight w:val="none"/>
        </w:rPr>
        <w:t>省下达楚雄州的保护目标，在保障特色农产品种植基础上控制“非粮化”，园地面积控制在</w:t>
      </w:r>
      <w:r>
        <w:rPr>
          <w:rFonts w:hint="eastAsia" w:eastAsia="方正仿宋_GBK"/>
          <w:color w:val="auto"/>
          <w:sz w:val="30"/>
          <w:szCs w:val="30"/>
          <w:highlight w:val="none"/>
        </w:rPr>
        <w:t>现状</w:t>
      </w:r>
      <w:r>
        <w:rPr>
          <w:rFonts w:eastAsia="方正仿宋_GBK"/>
          <w:color w:val="auto"/>
          <w:sz w:val="30"/>
          <w:szCs w:val="30"/>
          <w:highlight w:val="none"/>
        </w:rPr>
        <w:t>规模以内。</w:t>
      </w:r>
    </w:p>
    <w:p w14:paraId="4F4AA61A">
      <w:pPr>
        <w:ind w:firstLine="600"/>
        <w:rPr>
          <w:rFonts w:eastAsia="方正仿宋_GBK"/>
          <w:color w:val="auto"/>
          <w:sz w:val="30"/>
          <w:szCs w:val="30"/>
          <w:highlight w:val="none"/>
        </w:rPr>
      </w:pPr>
      <w:r>
        <w:rPr>
          <w:rFonts w:eastAsia="方正仿宋_GBK"/>
          <w:color w:val="auto"/>
          <w:sz w:val="30"/>
          <w:szCs w:val="30"/>
          <w:highlight w:val="none"/>
        </w:rPr>
        <w:t>建设用地结构优化以盘活存量为重点，明确</w:t>
      </w:r>
      <w:r>
        <w:rPr>
          <w:rFonts w:hint="eastAsia" w:eastAsia="方正仿宋_GBK"/>
          <w:color w:val="auto"/>
          <w:sz w:val="30"/>
          <w:szCs w:val="30"/>
          <w:highlight w:val="none"/>
          <w:lang w:eastAsia="zh-CN"/>
        </w:rPr>
        <w:t>用地</w:t>
      </w:r>
      <w:r>
        <w:rPr>
          <w:rFonts w:eastAsia="方正仿宋_GBK"/>
          <w:color w:val="auto"/>
          <w:sz w:val="30"/>
          <w:szCs w:val="30"/>
          <w:highlight w:val="none"/>
        </w:rPr>
        <w:t>结构优化方向，按照框定总量、严控增量、盘活存量、预留弹性、提升质量的要求，结合城市更新、城乡建设用地增减挂钩、低效用地再利用等政策，提出建设用地集约利用的目标和措施。推动城乡融合及人、城、产、交通一体化发展，保障区域基础设施和公共服务设施以及军事、外事、殡葬等特殊用地。2035年，全州城镇用地</w:t>
      </w:r>
      <w:r>
        <w:rPr>
          <w:rFonts w:hint="eastAsia" w:eastAsia="方正仿宋_GBK"/>
          <w:color w:val="auto"/>
          <w:sz w:val="30"/>
          <w:szCs w:val="30"/>
          <w:highlight w:val="none"/>
        </w:rPr>
        <w:t>适度</w:t>
      </w:r>
      <w:r>
        <w:rPr>
          <w:rFonts w:eastAsia="方正仿宋_GBK"/>
          <w:color w:val="auto"/>
          <w:sz w:val="30"/>
          <w:szCs w:val="30"/>
          <w:highlight w:val="none"/>
        </w:rPr>
        <w:t>增加，村庄用地</w:t>
      </w:r>
      <w:r>
        <w:rPr>
          <w:rFonts w:hint="eastAsia" w:eastAsia="方正仿宋_GBK"/>
          <w:color w:val="auto"/>
          <w:sz w:val="30"/>
          <w:szCs w:val="30"/>
          <w:highlight w:val="none"/>
        </w:rPr>
        <w:t>保持</w:t>
      </w:r>
      <w:r>
        <w:rPr>
          <w:rFonts w:eastAsia="方正仿宋_GBK"/>
          <w:color w:val="auto"/>
          <w:sz w:val="30"/>
          <w:szCs w:val="30"/>
          <w:highlight w:val="none"/>
        </w:rPr>
        <w:t>稳定，区域基础设施用地</w:t>
      </w:r>
      <w:r>
        <w:rPr>
          <w:rFonts w:hint="eastAsia" w:eastAsia="方正仿宋_GBK"/>
          <w:color w:val="auto"/>
          <w:sz w:val="30"/>
          <w:szCs w:val="30"/>
          <w:highlight w:val="none"/>
        </w:rPr>
        <w:t>适度</w:t>
      </w:r>
      <w:r>
        <w:rPr>
          <w:rFonts w:eastAsia="方正仿宋_GBK"/>
          <w:color w:val="auto"/>
          <w:sz w:val="30"/>
          <w:szCs w:val="30"/>
          <w:highlight w:val="none"/>
        </w:rPr>
        <w:t>增加。</w:t>
      </w:r>
    </w:p>
    <w:p w14:paraId="7DD3191F">
      <w:pPr>
        <w:ind w:firstLine="600"/>
        <w:rPr>
          <w:rFonts w:eastAsia="方正仿宋_GBK"/>
          <w:color w:val="auto"/>
          <w:sz w:val="30"/>
          <w:szCs w:val="30"/>
          <w:highlight w:val="none"/>
        </w:rPr>
      </w:pPr>
      <w:r>
        <w:rPr>
          <w:rFonts w:eastAsia="方正仿宋_GBK"/>
          <w:color w:val="auto"/>
          <w:sz w:val="30"/>
          <w:szCs w:val="30"/>
          <w:highlight w:val="none"/>
        </w:rPr>
        <w:t>保护重要河流、水库、水系、湿地等生态空间面积，控制裸土地、裸岩石砾地等面积不增加，提升土地生态化水平与生态服务功能。至2035年，大力实施“兴水润楚”工程，全州陆地水域面积</w:t>
      </w:r>
      <w:r>
        <w:rPr>
          <w:rFonts w:hint="eastAsia" w:eastAsia="方正仿宋_GBK"/>
          <w:color w:val="auto"/>
          <w:sz w:val="30"/>
          <w:szCs w:val="30"/>
          <w:highlight w:val="none"/>
        </w:rPr>
        <w:t>适度</w:t>
      </w:r>
      <w:r>
        <w:rPr>
          <w:rFonts w:eastAsia="方正仿宋_GBK"/>
          <w:color w:val="auto"/>
          <w:sz w:val="30"/>
          <w:szCs w:val="30"/>
          <w:highlight w:val="none"/>
        </w:rPr>
        <w:t>增加，加强湿地保护，湿地面积</w:t>
      </w:r>
      <w:r>
        <w:rPr>
          <w:rFonts w:hint="eastAsia" w:eastAsia="方正仿宋_GBK"/>
          <w:color w:val="auto"/>
          <w:sz w:val="30"/>
          <w:szCs w:val="30"/>
          <w:highlight w:val="none"/>
        </w:rPr>
        <w:t>保持稳定</w:t>
      </w:r>
      <w:r>
        <w:rPr>
          <w:rFonts w:eastAsia="方正仿宋_GBK"/>
          <w:color w:val="auto"/>
          <w:sz w:val="30"/>
          <w:szCs w:val="30"/>
          <w:highlight w:val="none"/>
        </w:rPr>
        <w:t>，加大其他土地的</w:t>
      </w:r>
      <w:r>
        <w:rPr>
          <w:rFonts w:hint="eastAsia" w:eastAsia="方正仿宋_GBK"/>
          <w:color w:val="auto"/>
          <w:sz w:val="30"/>
          <w:szCs w:val="30"/>
          <w:highlight w:val="none"/>
        </w:rPr>
        <w:t>开发</w:t>
      </w:r>
      <w:r>
        <w:rPr>
          <w:rFonts w:eastAsia="方正仿宋_GBK"/>
          <w:color w:val="auto"/>
          <w:sz w:val="30"/>
          <w:szCs w:val="30"/>
          <w:highlight w:val="none"/>
        </w:rPr>
        <w:t>利用程度</w:t>
      </w:r>
      <w:r>
        <w:rPr>
          <w:rFonts w:hint="eastAsia" w:eastAsia="方正仿宋_GBK"/>
          <w:color w:val="auto"/>
          <w:sz w:val="30"/>
          <w:szCs w:val="30"/>
          <w:highlight w:val="none"/>
        </w:rPr>
        <w:t>。</w:t>
      </w:r>
    </w:p>
    <w:p w14:paraId="78D1C00D">
      <w:pPr>
        <w:ind w:firstLine="0" w:firstLineChars="0"/>
        <w:rPr>
          <w:color w:val="auto"/>
          <w:highlight w:val="none"/>
          <w:lang w:val="zh-CN"/>
        </w:rPr>
        <w:sectPr>
          <w:pgSz w:w="11906" w:h="16838"/>
          <w:pgMar w:top="2041" w:right="1644" w:bottom="1871" w:left="1644" w:header="851" w:footer="992" w:gutter="0"/>
          <w:cols w:space="425" w:num="1"/>
          <w:docGrid w:type="linesAndChars" w:linePitch="312" w:charSpace="0"/>
        </w:sectPr>
      </w:pPr>
    </w:p>
    <w:p w14:paraId="57453AEA">
      <w:pPr>
        <w:pStyle w:val="63"/>
        <w:rPr>
          <w:color w:val="auto"/>
          <w:highlight w:val="none"/>
        </w:rPr>
      </w:pPr>
      <w:bookmarkStart w:id="112" w:name="_Toc32452"/>
      <w:bookmarkStart w:id="113" w:name="_Toc131433161"/>
      <w:bookmarkStart w:id="114" w:name="_Toc131433327"/>
      <w:bookmarkStart w:id="115" w:name="_Toc184639379"/>
      <w:r>
        <w:rPr>
          <w:color w:val="auto"/>
          <w:highlight w:val="none"/>
        </w:rPr>
        <w:t>第</w:t>
      </w:r>
      <w:r>
        <w:rPr>
          <w:rFonts w:hint="eastAsia"/>
          <w:color w:val="auto"/>
          <w:highlight w:val="none"/>
        </w:rPr>
        <w:t>四</w:t>
      </w:r>
      <w:r>
        <w:rPr>
          <w:color w:val="auto"/>
          <w:highlight w:val="none"/>
        </w:rPr>
        <w:t>章 严格耕地保护，做优农业空间</w:t>
      </w:r>
      <w:bookmarkEnd w:id="112"/>
      <w:bookmarkEnd w:id="113"/>
      <w:bookmarkEnd w:id="114"/>
      <w:bookmarkEnd w:id="115"/>
    </w:p>
    <w:p w14:paraId="15F20611">
      <w:pPr>
        <w:pStyle w:val="5"/>
        <w:rPr>
          <w:color w:val="auto"/>
          <w:highlight w:val="none"/>
        </w:rPr>
      </w:pPr>
      <w:bookmarkStart w:id="116" w:name="_Toc2062"/>
      <w:bookmarkStart w:id="117" w:name="_Toc131433328"/>
      <w:bookmarkStart w:id="118" w:name="_Toc131433162"/>
      <w:bookmarkStart w:id="119" w:name="_Toc184639380"/>
      <w:r>
        <w:rPr>
          <w:color w:val="auto"/>
          <w:highlight w:val="none"/>
        </w:rPr>
        <w:t xml:space="preserve">第一节 </w:t>
      </w:r>
      <w:bookmarkEnd w:id="116"/>
      <w:bookmarkEnd w:id="117"/>
      <w:bookmarkEnd w:id="118"/>
      <w:r>
        <w:rPr>
          <w:rFonts w:hint="eastAsia"/>
          <w:color w:val="auto"/>
          <w:highlight w:val="none"/>
        </w:rPr>
        <w:t>落实耕地“三位一体”保护</w:t>
      </w:r>
      <w:bookmarkEnd w:id="119"/>
    </w:p>
    <w:p w14:paraId="00DF729A">
      <w:pPr>
        <w:pStyle w:val="6"/>
        <w:rPr>
          <w:color w:val="auto"/>
          <w:highlight w:val="none"/>
        </w:rPr>
      </w:pPr>
      <w:r>
        <w:rPr>
          <w:color w:val="auto"/>
          <w:highlight w:val="none"/>
        </w:rPr>
        <w:t>一、</w:t>
      </w:r>
      <w:r>
        <w:rPr>
          <w:rFonts w:hint="eastAsia"/>
          <w:color w:val="auto"/>
          <w:highlight w:val="none"/>
        </w:rPr>
        <w:t>严格保护耕地</w:t>
      </w:r>
    </w:p>
    <w:p w14:paraId="173C28CF">
      <w:pPr>
        <w:ind w:firstLine="600"/>
        <w:rPr>
          <w:color w:val="auto"/>
          <w:sz w:val="30"/>
          <w:szCs w:val="30"/>
          <w:highlight w:val="none"/>
        </w:rPr>
      </w:pPr>
      <w:r>
        <w:rPr>
          <w:rFonts w:hint="eastAsia" w:ascii="方正楷体_GBK" w:eastAsia="方正楷体_GBK"/>
          <w:color w:val="auto"/>
          <w:sz w:val="30"/>
          <w:szCs w:val="30"/>
          <w:highlight w:val="none"/>
        </w:rPr>
        <w:t>确保完成耕地保护目标。</w:t>
      </w:r>
      <w:r>
        <w:rPr>
          <w:rFonts w:eastAsia="方正仿宋_GBK"/>
          <w:color w:val="auto"/>
          <w:sz w:val="30"/>
          <w:szCs w:val="30"/>
          <w:highlight w:val="none"/>
        </w:rPr>
        <w:t>坚持中国人的饭碗任何时候都要牢牢端在自己手中，饭碗主要装中国粮，全面落实</w:t>
      </w:r>
      <w:r>
        <w:rPr>
          <w:rFonts w:hint="eastAsia" w:eastAsia="方正仿宋_GBK"/>
          <w:color w:val="auto"/>
          <w:sz w:val="30"/>
          <w:szCs w:val="30"/>
          <w:highlight w:val="none"/>
        </w:rPr>
        <w:t>耕地保护</w:t>
      </w:r>
      <w:r>
        <w:rPr>
          <w:rFonts w:eastAsia="方正仿宋_GBK"/>
          <w:color w:val="auto"/>
          <w:sz w:val="30"/>
          <w:szCs w:val="30"/>
          <w:highlight w:val="none"/>
        </w:rPr>
        <w:t>党政同责，严格粮食安全责任制考核，确保粮食播种面积稳定，落实</w:t>
      </w:r>
      <w:r>
        <w:rPr>
          <w:rFonts w:hint="eastAsia" w:eastAsia="方正仿宋_GBK"/>
          <w:color w:val="auto"/>
          <w:sz w:val="30"/>
          <w:szCs w:val="30"/>
          <w:highlight w:val="none"/>
        </w:rPr>
        <w:t>“</w:t>
      </w:r>
      <w:r>
        <w:rPr>
          <w:rFonts w:eastAsia="方正仿宋_GBK"/>
          <w:color w:val="auto"/>
          <w:sz w:val="30"/>
          <w:szCs w:val="30"/>
          <w:highlight w:val="none"/>
        </w:rPr>
        <w:t>长牙齿</w:t>
      </w:r>
      <w:r>
        <w:rPr>
          <w:rFonts w:hint="eastAsia" w:eastAsia="方正仿宋_GBK"/>
          <w:color w:val="auto"/>
          <w:sz w:val="30"/>
          <w:szCs w:val="30"/>
          <w:highlight w:val="none"/>
        </w:rPr>
        <w:t>”</w:t>
      </w:r>
      <w:r>
        <w:rPr>
          <w:rFonts w:eastAsia="方正仿宋_GBK"/>
          <w:color w:val="auto"/>
          <w:sz w:val="30"/>
          <w:szCs w:val="30"/>
          <w:highlight w:val="none"/>
        </w:rPr>
        <w:t>的耕地保护硬措施。将</w:t>
      </w:r>
      <w:r>
        <w:rPr>
          <w:rFonts w:hint="eastAsia" w:eastAsia="方正仿宋_GBK"/>
          <w:color w:val="auto"/>
          <w:sz w:val="30"/>
          <w:szCs w:val="30"/>
          <w:highlight w:val="none"/>
        </w:rPr>
        <w:t>云南</w:t>
      </w:r>
      <w:r>
        <w:rPr>
          <w:rFonts w:eastAsia="方正仿宋_GBK"/>
          <w:color w:val="auto"/>
          <w:sz w:val="30"/>
          <w:szCs w:val="30"/>
          <w:highlight w:val="none"/>
        </w:rPr>
        <w:t>省下达楚雄州的</w:t>
      </w:r>
      <w:r>
        <w:rPr>
          <w:rFonts w:hint="eastAsia" w:eastAsia="方正仿宋_GBK"/>
          <w:color w:val="auto"/>
          <w:sz w:val="30"/>
          <w:szCs w:val="30"/>
          <w:highlight w:val="none"/>
        </w:rPr>
        <w:t>耕地保有量</w:t>
      </w:r>
      <w:r>
        <w:rPr>
          <w:rFonts w:eastAsia="方正仿宋_GBK"/>
          <w:color w:val="auto"/>
          <w:sz w:val="30"/>
          <w:szCs w:val="30"/>
          <w:highlight w:val="none"/>
        </w:rPr>
        <w:t>和</w:t>
      </w:r>
      <w:r>
        <w:rPr>
          <w:rFonts w:hint="eastAsia" w:eastAsia="方正仿宋_GBK"/>
          <w:color w:val="auto"/>
          <w:sz w:val="30"/>
          <w:szCs w:val="30"/>
          <w:highlight w:val="none"/>
        </w:rPr>
        <w:t>永久基本农田保护面积</w:t>
      </w:r>
      <w:r>
        <w:rPr>
          <w:rFonts w:eastAsia="方正仿宋_GBK"/>
          <w:color w:val="auto"/>
          <w:sz w:val="30"/>
          <w:szCs w:val="30"/>
          <w:highlight w:val="none"/>
        </w:rPr>
        <w:t>分解下达到各县（市），强化耕地保护全流程监管。</w:t>
      </w:r>
    </w:p>
    <w:p w14:paraId="79F63CC7">
      <w:pPr>
        <w:ind w:firstLine="600"/>
        <w:rPr>
          <w:rFonts w:eastAsia="方正仿宋_GBK"/>
          <w:color w:val="auto"/>
          <w:sz w:val="30"/>
          <w:szCs w:val="30"/>
          <w:highlight w:val="none"/>
        </w:rPr>
      </w:pPr>
      <w:r>
        <w:rPr>
          <w:rFonts w:ascii="方正楷体_GBK" w:eastAsia="方正楷体_GBK"/>
          <w:color w:val="auto"/>
          <w:sz w:val="30"/>
          <w:szCs w:val="30"/>
          <w:highlight w:val="none"/>
        </w:rPr>
        <w:t>严格控制非农建设占用耕地。</w:t>
      </w:r>
      <w:r>
        <w:rPr>
          <w:rFonts w:eastAsia="方正仿宋_GBK"/>
          <w:color w:val="auto"/>
          <w:sz w:val="30"/>
          <w:szCs w:val="30"/>
          <w:highlight w:val="none"/>
        </w:rPr>
        <w:t>各类非农建设必须节约使用土地，可以利用荒地的，不得占用耕地；可以利用劣地的，不得占用好地。选址布局尽量不占或少占耕地，特别是</w:t>
      </w:r>
      <w:r>
        <w:rPr>
          <w:rFonts w:hint="eastAsia" w:eastAsia="方正仿宋_GBK"/>
          <w:color w:val="auto"/>
          <w:sz w:val="30"/>
          <w:szCs w:val="30"/>
          <w:highlight w:val="none"/>
        </w:rPr>
        <w:t>占用</w:t>
      </w:r>
      <w:r>
        <w:rPr>
          <w:rFonts w:eastAsia="方正仿宋_GBK"/>
          <w:color w:val="auto"/>
          <w:sz w:val="30"/>
          <w:szCs w:val="30"/>
          <w:highlight w:val="none"/>
        </w:rPr>
        <w:t>永久基本农田，</w:t>
      </w:r>
      <w:r>
        <w:rPr>
          <w:rFonts w:hint="eastAsia" w:eastAsia="方正仿宋_GBK"/>
          <w:color w:val="auto"/>
          <w:sz w:val="30"/>
          <w:szCs w:val="30"/>
          <w:highlight w:val="none"/>
        </w:rPr>
        <w:t>要</w:t>
      </w:r>
      <w:r>
        <w:rPr>
          <w:rFonts w:eastAsia="方正仿宋_GBK"/>
          <w:color w:val="auto"/>
          <w:sz w:val="30"/>
          <w:szCs w:val="30"/>
          <w:highlight w:val="none"/>
        </w:rPr>
        <w:t>严格项目选址方案论证</w:t>
      </w:r>
      <w:r>
        <w:rPr>
          <w:rFonts w:hint="eastAsia" w:eastAsia="方正仿宋_GBK"/>
          <w:color w:val="auto"/>
          <w:sz w:val="30"/>
          <w:szCs w:val="30"/>
          <w:highlight w:val="none"/>
        </w:rPr>
        <w:t>，</w:t>
      </w:r>
      <w:r>
        <w:rPr>
          <w:rFonts w:eastAsia="方正仿宋_GBK"/>
          <w:color w:val="auto"/>
          <w:sz w:val="30"/>
          <w:szCs w:val="30"/>
          <w:highlight w:val="none"/>
        </w:rPr>
        <w:t>确需占用的，必须严格落实先补后占和占一补一、占优补优、占水田补水田。</w:t>
      </w:r>
    </w:p>
    <w:p w14:paraId="768690BE">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严格落实耕地占补平衡。</w:t>
      </w:r>
      <w:r>
        <w:rPr>
          <w:rFonts w:eastAsia="方正仿宋_GBK"/>
          <w:color w:val="auto"/>
          <w:sz w:val="30"/>
          <w:szCs w:val="30"/>
          <w:highlight w:val="none"/>
        </w:rPr>
        <w:t>实行国家占用耕地补偿制度，非农业建设经批准占用耕地的，按照</w:t>
      </w:r>
      <w:r>
        <w:rPr>
          <w:rFonts w:hint="eastAsia" w:eastAsia="方正仿宋_GBK"/>
          <w:color w:val="auto"/>
          <w:sz w:val="30"/>
          <w:szCs w:val="30"/>
          <w:highlight w:val="none"/>
        </w:rPr>
        <w:t>“</w:t>
      </w:r>
      <w:r>
        <w:rPr>
          <w:rFonts w:eastAsia="方正仿宋_GBK"/>
          <w:color w:val="auto"/>
          <w:sz w:val="30"/>
          <w:szCs w:val="30"/>
          <w:highlight w:val="none"/>
        </w:rPr>
        <w:t>占多少，垦多少，占水田补水田</w:t>
      </w:r>
      <w:r>
        <w:rPr>
          <w:rFonts w:hint="eastAsia" w:eastAsia="方正仿宋_GBK"/>
          <w:color w:val="auto"/>
          <w:sz w:val="30"/>
          <w:szCs w:val="30"/>
          <w:highlight w:val="none"/>
        </w:rPr>
        <w:t>”</w:t>
      </w:r>
      <w:r>
        <w:rPr>
          <w:rFonts w:eastAsia="方正仿宋_GBK"/>
          <w:color w:val="auto"/>
          <w:sz w:val="30"/>
          <w:szCs w:val="30"/>
          <w:highlight w:val="none"/>
        </w:rPr>
        <w:t>的原则，由占用耕地的单位负责开垦与所占用耕地数量和质量相当的耕地，没有条件开垦或者开垦的耕地不符合要求的，应当按照省、州规定缴纳耕地开垦费，专款用于开垦新的耕地。县（市）人民政府是耕地保护责任主体，要统筹通过土地整治和高标准农田建设，增加耕地数量、提升耕地质量，确保耕地总量动态平衡。</w:t>
      </w:r>
    </w:p>
    <w:p w14:paraId="236BC794">
      <w:pPr>
        <w:ind w:firstLine="600"/>
        <w:rPr>
          <w:color w:val="auto"/>
          <w:sz w:val="30"/>
          <w:szCs w:val="30"/>
          <w:highlight w:val="none"/>
        </w:rPr>
      </w:pPr>
      <w:r>
        <w:rPr>
          <w:rFonts w:ascii="方正楷体_GBK" w:eastAsia="方正楷体_GBK"/>
          <w:color w:val="auto"/>
          <w:sz w:val="30"/>
          <w:szCs w:val="30"/>
          <w:highlight w:val="none"/>
        </w:rPr>
        <w:t>实施年度耕地进出平衡。</w:t>
      </w:r>
      <w:r>
        <w:rPr>
          <w:rFonts w:eastAsia="方正仿宋_GBK"/>
          <w:color w:val="auto"/>
          <w:sz w:val="30"/>
          <w:szCs w:val="30"/>
          <w:highlight w:val="none"/>
        </w:rPr>
        <w:t>严格控制耕地转为其他农用地，</w:t>
      </w:r>
      <w:r>
        <w:rPr>
          <w:rFonts w:hint="eastAsia" w:eastAsia="方正仿宋_GBK"/>
          <w:color w:val="auto"/>
          <w:sz w:val="30"/>
          <w:szCs w:val="30"/>
          <w:highlight w:val="none"/>
        </w:rPr>
        <w:t>对耕地转为其他农用地及农业设施建设用地实行年度耕地进出平衡。耕地转为林地、草地、园地等其他农用地及农业设施建设用地的，应当通过统筹实施林地、草地、园地等其他农用地及农业设施建设用地整治为耕地等途径，补足同等数量、质量的长期稳定利用耕地</w:t>
      </w:r>
      <w:r>
        <w:rPr>
          <w:rFonts w:eastAsia="方正仿宋_GBK"/>
          <w:color w:val="auto"/>
          <w:sz w:val="30"/>
          <w:szCs w:val="30"/>
          <w:highlight w:val="none"/>
        </w:rPr>
        <w:t>。</w:t>
      </w:r>
    </w:p>
    <w:p w14:paraId="78D44AA9">
      <w:pPr>
        <w:pStyle w:val="6"/>
        <w:rPr>
          <w:color w:val="auto"/>
          <w:highlight w:val="none"/>
        </w:rPr>
      </w:pPr>
      <w:r>
        <w:rPr>
          <w:color w:val="auto"/>
          <w:highlight w:val="none"/>
        </w:rPr>
        <w:t>二、提升耕地质量</w:t>
      </w:r>
    </w:p>
    <w:p w14:paraId="034123B1">
      <w:pPr>
        <w:ind w:firstLine="600"/>
        <w:rPr>
          <w:rFonts w:eastAsia="方正仿宋_GBK"/>
          <w:color w:val="auto"/>
          <w:sz w:val="30"/>
          <w:szCs w:val="30"/>
          <w:highlight w:val="none"/>
        </w:rPr>
      </w:pPr>
      <w:r>
        <w:rPr>
          <w:rFonts w:ascii="方正楷体_GBK" w:eastAsia="方正楷体_GBK"/>
          <w:color w:val="auto"/>
          <w:sz w:val="30"/>
          <w:szCs w:val="30"/>
          <w:highlight w:val="none"/>
        </w:rPr>
        <w:t>提升耕地综合生产能力。</w:t>
      </w:r>
      <w:r>
        <w:rPr>
          <w:rFonts w:eastAsia="方正仿宋_GBK"/>
          <w:color w:val="auto"/>
          <w:sz w:val="30"/>
          <w:szCs w:val="30"/>
          <w:highlight w:val="none"/>
        </w:rPr>
        <w:t>按照</w:t>
      </w:r>
      <w:r>
        <w:rPr>
          <w:rFonts w:hint="eastAsia" w:eastAsia="方正仿宋_GBK"/>
          <w:color w:val="auto"/>
          <w:sz w:val="30"/>
          <w:szCs w:val="30"/>
          <w:highlight w:val="none"/>
        </w:rPr>
        <w:t>“</w:t>
      </w:r>
      <w:r>
        <w:rPr>
          <w:rFonts w:eastAsia="方正仿宋_GBK"/>
          <w:color w:val="auto"/>
          <w:sz w:val="30"/>
          <w:szCs w:val="30"/>
          <w:highlight w:val="none"/>
        </w:rPr>
        <w:t>集中连片、旱涝保收、稳产高产</w:t>
      </w:r>
      <w:r>
        <w:rPr>
          <w:rFonts w:hint="eastAsia" w:eastAsia="方正仿宋_GBK"/>
          <w:color w:val="auto"/>
          <w:sz w:val="30"/>
          <w:szCs w:val="30"/>
          <w:highlight w:val="none"/>
        </w:rPr>
        <w:t>、</w:t>
      </w:r>
      <w:r>
        <w:rPr>
          <w:rFonts w:eastAsia="方正仿宋_GBK"/>
          <w:color w:val="auto"/>
          <w:sz w:val="30"/>
          <w:szCs w:val="30"/>
          <w:highlight w:val="none"/>
        </w:rPr>
        <w:t>生态友好</w:t>
      </w:r>
      <w:r>
        <w:rPr>
          <w:rFonts w:hint="eastAsia" w:eastAsia="方正仿宋_GBK"/>
          <w:color w:val="auto"/>
          <w:sz w:val="30"/>
          <w:szCs w:val="30"/>
          <w:highlight w:val="none"/>
        </w:rPr>
        <w:t>”</w:t>
      </w:r>
      <w:r>
        <w:rPr>
          <w:rFonts w:eastAsia="方正仿宋_GBK"/>
          <w:color w:val="auto"/>
          <w:sz w:val="30"/>
          <w:szCs w:val="30"/>
          <w:highlight w:val="none"/>
        </w:rPr>
        <w:t>的总体要求，采取改善排灌设施、治理水土侵蚀、改善土壤理化性状、培肥地力、改进耕作方式等措施，提高耕地产能和增强抵御水旱灾害能力，增强耕地生产能力，促进农业可持续发展</w:t>
      </w:r>
      <w:r>
        <w:rPr>
          <w:rFonts w:hint="eastAsia" w:eastAsia="方正仿宋_GBK"/>
          <w:color w:val="auto"/>
          <w:sz w:val="30"/>
          <w:szCs w:val="30"/>
          <w:highlight w:val="none"/>
        </w:rPr>
        <w:t>。</w:t>
      </w:r>
    </w:p>
    <w:p w14:paraId="7502FF29">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全面推进建设占用耕地表土剥离再利用。</w:t>
      </w:r>
      <w:r>
        <w:rPr>
          <w:rFonts w:hint="eastAsia" w:eastAsia="方正仿宋_GBK"/>
          <w:color w:val="auto"/>
          <w:sz w:val="30"/>
          <w:szCs w:val="30"/>
          <w:highlight w:val="none"/>
        </w:rPr>
        <w:t>结合土地整治、高标准基本农田建设、矿区生态治理、增减挂钩、城市建设和市场需求开展表土剥离利用，改造中低产田，提高耕地质量。</w:t>
      </w:r>
    </w:p>
    <w:p w14:paraId="0F03BB24">
      <w:pPr>
        <w:ind w:firstLine="600"/>
        <w:rPr>
          <w:color w:val="auto"/>
          <w:sz w:val="30"/>
          <w:szCs w:val="30"/>
          <w:highlight w:val="none"/>
        </w:rPr>
      </w:pPr>
      <w:r>
        <w:rPr>
          <w:rFonts w:ascii="方正楷体_GBK" w:eastAsia="方正楷体_GBK"/>
          <w:color w:val="auto"/>
          <w:sz w:val="30"/>
          <w:szCs w:val="30"/>
          <w:highlight w:val="none"/>
        </w:rPr>
        <w:t>优化耕地布局，减</w:t>
      </w:r>
      <w:r>
        <w:rPr>
          <w:rFonts w:hint="eastAsia" w:ascii="方正楷体_GBK" w:eastAsia="方正楷体_GBK"/>
          <w:color w:val="auto"/>
          <w:sz w:val="30"/>
          <w:szCs w:val="30"/>
          <w:highlight w:val="none"/>
        </w:rPr>
        <w:t>少破碎度</w:t>
      </w:r>
      <w:r>
        <w:rPr>
          <w:rFonts w:ascii="方正楷体_GBK" w:eastAsia="方正楷体_GBK"/>
          <w:color w:val="auto"/>
          <w:sz w:val="30"/>
          <w:szCs w:val="30"/>
          <w:highlight w:val="none"/>
        </w:rPr>
        <w:t>。</w:t>
      </w:r>
      <w:r>
        <w:rPr>
          <w:rFonts w:eastAsia="方正仿宋_GBK"/>
          <w:color w:val="auto"/>
          <w:sz w:val="30"/>
          <w:szCs w:val="30"/>
          <w:highlight w:val="none"/>
        </w:rPr>
        <w:t>通过</w:t>
      </w:r>
      <w:r>
        <w:rPr>
          <w:rFonts w:hint="eastAsia" w:eastAsia="方正仿宋_GBK"/>
          <w:color w:val="auto"/>
          <w:sz w:val="30"/>
          <w:szCs w:val="30"/>
          <w:highlight w:val="none"/>
        </w:rPr>
        <w:t>采取改善排灌设施、治理水土侵蚀和</w:t>
      </w:r>
      <w:r>
        <w:rPr>
          <w:rFonts w:eastAsia="方正仿宋_GBK"/>
          <w:color w:val="auto"/>
          <w:sz w:val="30"/>
          <w:szCs w:val="30"/>
          <w:highlight w:val="none"/>
        </w:rPr>
        <w:t>耕地</w:t>
      </w:r>
      <w:r>
        <w:rPr>
          <w:rFonts w:hint="eastAsia" w:eastAsia="方正仿宋_GBK"/>
          <w:color w:val="auto"/>
          <w:sz w:val="30"/>
          <w:szCs w:val="30"/>
          <w:highlight w:val="none"/>
        </w:rPr>
        <w:t>提质</w:t>
      </w:r>
      <w:r>
        <w:rPr>
          <w:rFonts w:eastAsia="方正仿宋_GBK"/>
          <w:color w:val="auto"/>
          <w:sz w:val="30"/>
          <w:szCs w:val="30"/>
          <w:highlight w:val="none"/>
        </w:rPr>
        <w:t>改造</w:t>
      </w:r>
      <w:r>
        <w:rPr>
          <w:rFonts w:hint="eastAsia" w:eastAsia="方正仿宋_GBK"/>
          <w:color w:val="auto"/>
          <w:sz w:val="30"/>
          <w:szCs w:val="30"/>
          <w:highlight w:val="none"/>
        </w:rPr>
        <w:t>、</w:t>
      </w:r>
      <w:r>
        <w:rPr>
          <w:rFonts w:eastAsia="方正仿宋_GBK"/>
          <w:color w:val="auto"/>
          <w:sz w:val="30"/>
          <w:szCs w:val="30"/>
          <w:highlight w:val="none"/>
        </w:rPr>
        <w:t>耕地后备资源开发</w:t>
      </w:r>
      <w:r>
        <w:rPr>
          <w:rFonts w:hint="eastAsia" w:eastAsia="方正仿宋_GBK"/>
          <w:color w:val="auto"/>
          <w:sz w:val="30"/>
          <w:szCs w:val="30"/>
          <w:highlight w:val="none"/>
        </w:rPr>
        <w:t>等工程</w:t>
      </w:r>
      <w:r>
        <w:rPr>
          <w:rFonts w:eastAsia="方正仿宋_GBK"/>
          <w:color w:val="auto"/>
          <w:sz w:val="30"/>
          <w:szCs w:val="30"/>
          <w:highlight w:val="none"/>
        </w:rPr>
        <w:t>，优先提质</w:t>
      </w:r>
      <w:r>
        <w:rPr>
          <w:rFonts w:hint="eastAsia" w:eastAsia="方正仿宋_GBK"/>
          <w:color w:val="auto"/>
          <w:sz w:val="30"/>
          <w:szCs w:val="30"/>
          <w:highlight w:val="none"/>
        </w:rPr>
        <w:t>、</w:t>
      </w:r>
      <w:r>
        <w:rPr>
          <w:rFonts w:eastAsia="方正仿宋_GBK"/>
          <w:color w:val="auto"/>
          <w:sz w:val="30"/>
          <w:szCs w:val="30"/>
          <w:highlight w:val="none"/>
        </w:rPr>
        <w:t>补充位于蜻蛉河、绿汁江</w:t>
      </w:r>
      <w:r>
        <w:rPr>
          <w:rFonts w:hint="eastAsia" w:eastAsia="方正仿宋_GBK"/>
          <w:color w:val="auto"/>
          <w:sz w:val="30"/>
          <w:szCs w:val="30"/>
          <w:highlight w:val="none"/>
        </w:rPr>
        <w:t>等</w:t>
      </w:r>
      <w:r>
        <w:rPr>
          <w:rFonts w:eastAsia="方正仿宋_GBK"/>
          <w:color w:val="auto"/>
          <w:sz w:val="30"/>
          <w:szCs w:val="30"/>
          <w:highlight w:val="none"/>
        </w:rPr>
        <w:t>大型灌区和元谋坝子、姚安坝子、罗次坝子等大型坝区的耕地，提高耕地集中连片程度，减小耕地</w:t>
      </w:r>
      <w:r>
        <w:rPr>
          <w:rFonts w:hint="eastAsia" w:eastAsia="方正仿宋_GBK"/>
          <w:color w:val="auto"/>
          <w:sz w:val="30"/>
          <w:szCs w:val="30"/>
          <w:highlight w:val="none"/>
        </w:rPr>
        <w:t>破碎</w:t>
      </w:r>
      <w:r>
        <w:rPr>
          <w:rFonts w:eastAsia="方正仿宋_GBK"/>
          <w:color w:val="auto"/>
          <w:sz w:val="30"/>
          <w:szCs w:val="30"/>
          <w:highlight w:val="none"/>
        </w:rPr>
        <w:t>程度。</w:t>
      </w:r>
      <w:r>
        <w:rPr>
          <w:color w:val="auto"/>
          <w:sz w:val="30"/>
          <w:szCs w:val="30"/>
          <w:highlight w:val="none"/>
        </w:rPr>
        <w:t xml:space="preserve"> </w:t>
      </w:r>
    </w:p>
    <w:p w14:paraId="1D2F0635">
      <w:pPr>
        <w:pStyle w:val="6"/>
        <w:rPr>
          <w:color w:val="auto"/>
          <w:highlight w:val="none"/>
        </w:rPr>
      </w:pPr>
      <w:r>
        <w:rPr>
          <w:rFonts w:hint="eastAsia"/>
          <w:color w:val="auto"/>
          <w:highlight w:val="none"/>
        </w:rPr>
        <w:t>三</w:t>
      </w:r>
      <w:r>
        <w:rPr>
          <w:color w:val="auto"/>
          <w:highlight w:val="none"/>
        </w:rPr>
        <w:t>、</w:t>
      </w:r>
      <w:r>
        <w:rPr>
          <w:rFonts w:hint="eastAsia"/>
          <w:color w:val="auto"/>
          <w:highlight w:val="none"/>
        </w:rPr>
        <w:t>改善耕地生态功能</w:t>
      </w:r>
    </w:p>
    <w:p w14:paraId="300DE696">
      <w:pPr>
        <w:ind w:firstLine="600"/>
        <w:rPr>
          <w:rFonts w:ascii="仿宋_GB2312"/>
          <w:color w:val="auto"/>
          <w:sz w:val="30"/>
          <w:szCs w:val="30"/>
          <w:highlight w:val="none"/>
        </w:rPr>
      </w:pPr>
      <w:r>
        <w:rPr>
          <w:rFonts w:hint="eastAsia" w:ascii="方正楷体_GBK" w:eastAsia="方正楷体_GBK"/>
          <w:color w:val="auto"/>
          <w:sz w:val="30"/>
          <w:szCs w:val="30"/>
          <w:highlight w:val="none"/>
        </w:rPr>
        <w:t>强化稳定耕地安全利用。</w:t>
      </w:r>
      <w:r>
        <w:rPr>
          <w:rFonts w:hint="eastAsia" w:eastAsia="方正仿宋_GBK"/>
          <w:color w:val="auto"/>
          <w:sz w:val="30"/>
          <w:szCs w:val="30"/>
          <w:highlight w:val="none"/>
        </w:rPr>
        <w:t>控制化肥、农药用量，控制农膜残留。严防采矿、工业生产、固体废弃物堆积和污水排放污染损毁耕地。改善农业灌溉用水水质，结合不同区域土壤的自净能力制定灌溉用水水质标准，防止污水灌溉对土壤造成二次污染。通过在农田及其周边最大限度地修复自然植被或构建自然生境、推行保护性耕作模式、采取免耕或少耕减少机械对土壤的扰动、种植覆盖作物提升土壤肥力、采取作物轮作等手段保护、可持续管理和修复自然或人工生态系统，充分利用生态系统涵养水源、改善土壤健康、保护生物多样性、固碳释氧等服务，改善土壤健康状况。</w:t>
      </w:r>
    </w:p>
    <w:p w14:paraId="2053DF56">
      <w:pPr>
        <w:pStyle w:val="6"/>
        <w:rPr>
          <w:color w:val="auto"/>
          <w:highlight w:val="none"/>
        </w:rPr>
      </w:pPr>
      <w:r>
        <w:rPr>
          <w:rFonts w:hint="eastAsia"/>
          <w:color w:val="auto"/>
          <w:highlight w:val="none"/>
        </w:rPr>
        <w:t>四</w:t>
      </w:r>
      <w:r>
        <w:rPr>
          <w:color w:val="auto"/>
          <w:highlight w:val="none"/>
        </w:rPr>
        <w:t>、遏制耕地非农化、防止非粮化</w:t>
      </w:r>
    </w:p>
    <w:p w14:paraId="4CABADB9">
      <w:pPr>
        <w:ind w:firstLine="600"/>
        <w:rPr>
          <w:rFonts w:eastAsia="方正仿宋_GBK"/>
          <w:color w:val="auto"/>
          <w:sz w:val="30"/>
          <w:szCs w:val="30"/>
          <w:highlight w:val="none"/>
        </w:rPr>
      </w:pPr>
      <w:r>
        <w:rPr>
          <w:rFonts w:ascii="方正楷体_GBK" w:eastAsia="方正楷体_GBK"/>
          <w:color w:val="auto"/>
          <w:sz w:val="30"/>
          <w:szCs w:val="30"/>
          <w:highlight w:val="none"/>
        </w:rPr>
        <w:t>强化保护措施，</w:t>
      </w:r>
      <w:r>
        <w:rPr>
          <w:rFonts w:hint="eastAsia" w:ascii="方正楷体_GBK" w:eastAsia="方正楷体_GBK"/>
          <w:color w:val="auto"/>
          <w:sz w:val="30"/>
          <w:szCs w:val="30"/>
          <w:highlight w:val="none"/>
        </w:rPr>
        <w:t>遏制耕地非农化、防止永久基本农田非粮化。</w:t>
      </w:r>
      <w:r>
        <w:rPr>
          <w:rFonts w:hint="eastAsia" w:eastAsia="方正仿宋_GBK"/>
          <w:color w:val="auto"/>
          <w:sz w:val="30"/>
          <w:szCs w:val="30"/>
          <w:highlight w:val="none"/>
        </w:rPr>
        <w:t>推动建立耕地保护长效机制，实行县、乡、村三级联动全覆盖的耕地保护网格化监管。禁止违规占用耕地绿化造林、超标准建设绿色通道、挖湖造景，禁止城镇开发边界大量圈占水田和优质耕地，农用地转用审批中严格执行“先补后占”，建立耕地保护监测监管体系，对耕地流失较多区域进行及时预警。</w:t>
      </w:r>
    </w:p>
    <w:p w14:paraId="713476F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实施耕地种植用途管控。</w:t>
      </w:r>
      <w:r>
        <w:rPr>
          <w:rFonts w:hint="eastAsia" w:eastAsia="方正仿宋_GBK"/>
          <w:color w:val="auto"/>
          <w:sz w:val="30"/>
          <w:szCs w:val="30"/>
          <w:highlight w:val="none"/>
        </w:rPr>
        <w:t>依法落实耕地利用优先顺序，永久基本农田重点用于粮食生产，特别是保障水稻、小麦、玉米种植；一般耕地主要用于粮食和油、糖、蔬菜等农产品及饲草饲料生产，高标准农田原则上全部用于粮食生产。利用卫星遥感、大数据等信息化手段，监测耕地种植用途变化动态，重点对金沙江干热河谷特色种业果蔬农业带和东部乌蒙山粮食主产区等耕地流失较多区域进行及时预警。开展日常巡查和核查，对耕地种植用途改变做到早发现、早制止、严查处，严格防止耕地非粮化。</w:t>
      </w:r>
    </w:p>
    <w:p w14:paraId="04C58727">
      <w:pPr>
        <w:pStyle w:val="6"/>
        <w:rPr>
          <w:color w:val="auto"/>
          <w:highlight w:val="none"/>
        </w:rPr>
      </w:pPr>
      <w:r>
        <w:rPr>
          <w:rFonts w:hint="eastAsia"/>
          <w:color w:val="auto"/>
          <w:highlight w:val="none"/>
        </w:rPr>
        <w:t>五</w:t>
      </w:r>
      <w:r>
        <w:rPr>
          <w:color w:val="auto"/>
          <w:highlight w:val="none"/>
        </w:rPr>
        <w:t>、确保粮食生产能力</w:t>
      </w:r>
    </w:p>
    <w:p w14:paraId="28DEA256">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提升耕地综合生产能力</w:t>
      </w:r>
      <w:r>
        <w:rPr>
          <w:rFonts w:ascii="方正楷体_GBK" w:eastAsia="方正楷体_GBK"/>
          <w:color w:val="auto"/>
          <w:sz w:val="30"/>
          <w:szCs w:val="30"/>
          <w:highlight w:val="none"/>
        </w:rPr>
        <w:t>。</w:t>
      </w:r>
      <w:r>
        <w:rPr>
          <w:rFonts w:eastAsia="方正仿宋_GBK"/>
          <w:color w:val="auto"/>
          <w:sz w:val="30"/>
          <w:szCs w:val="30"/>
          <w:highlight w:val="none"/>
        </w:rPr>
        <w:t>守住粮食生产功能区规模，从根本上确保粮食生产能力不低于</w:t>
      </w:r>
      <w:r>
        <w:rPr>
          <w:rFonts w:hint="eastAsia" w:eastAsia="方正仿宋_GBK"/>
          <w:color w:val="auto"/>
          <w:sz w:val="30"/>
          <w:szCs w:val="30"/>
          <w:highlight w:val="none"/>
        </w:rPr>
        <w:t>127</w:t>
      </w:r>
      <w:r>
        <w:rPr>
          <w:rFonts w:eastAsia="方正仿宋_GBK"/>
          <w:color w:val="auto"/>
          <w:sz w:val="30"/>
          <w:szCs w:val="30"/>
          <w:highlight w:val="none"/>
        </w:rPr>
        <w:t>.20万吨/年。</w:t>
      </w:r>
      <w:r>
        <w:rPr>
          <w:rFonts w:hint="eastAsia" w:eastAsia="方正仿宋_GBK"/>
          <w:color w:val="auto"/>
          <w:sz w:val="30"/>
          <w:szCs w:val="30"/>
          <w:highlight w:val="none"/>
        </w:rPr>
        <w:t>采取改善排灌设施、治理水土侵蚀、改善培肥地力、改进耕作方式等措施，提高耕地产能和增强抵御水旱灾害能力，增强耕地生产能力，促进农业可持续发展。</w:t>
      </w:r>
    </w:p>
    <w:p w14:paraId="00067571">
      <w:pPr>
        <w:ind w:firstLine="600"/>
        <w:rPr>
          <w:rFonts w:eastAsia="方正仿宋_GBK"/>
          <w:color w:val="auto"/>
          <w:sz w:val="30"/>
          <w:szCs w:val="30"/>
          <w:highlight w:val="none"/>
        </w:rPr>
      </w:pPr>
      <w:r>
        <w:rPr>
          <w:rFonts w:ascii="方正楷体_GBK" w:eastAsia="方正楷体_GBK"/>
          <w:color w:val="auto"/>
          <w:sz w:val="30"/>
          <w:szCs w:val="30"/>
          <w:highlight w:val="none"/>
        </w:rPr>
        <w:t>确保粮食种植面积不减少、产量有提升。</w:t>
      </w:r>
      <w:r>
        <w:rPr>
          <w:rFonts w:eastAsia="方正仿宋_GBK"/>
          <w:color w:val="auto"/>
          <w:sz w:val="30"/>
          <w:szCs w:val="30"/>
          <w:highlight w:val="none"/>
        </w:rPr>
        <w:t>实施高标准农田建设保护工程，将高标准农田建设产生的新增耕地指标调剂收益优先用于农田建设再投入；农田整治投资向粮食主产区倾斜，优先在粮食生产功能区选址。</w:t>
      </w:r>
    </w:p>
    <w:p w14:paraId="12D42C5F">
      <w:pPr>
        <w:pStyle w:val="5"/>
        <w:rPr>
          <w:color w:val="auto"/>
          <w:highlight w:val="none"/>
        </w:rPr>
      </w:pPr>
      <w:bookmarkStart w:id="120" w:name="_Toc184639381"/>
      <w:bookmarkStart w:id="121" w:name="_Toc131433329"/>
      <w:bookmarkStart w:id="122" w:name="_Toc10878"/>
      <w:bookmarkStart w:id="123" w:name="_Toc131433163"/>
      <w:r>
        <w:rPr>
          <w:color w:val="auto"/>
          <w:highlight w:val="none"/>
        </w:rPr>
        <w:t>第二节 推进高原特色农业现代化</w:t>
      </w:r>
      <w:bookmarkEnd w:id="120"/>
      <w:bookmarkEnd w:id="121"/>
      <w:bookmarkEnd w:id="122"/>
      <w:bookmarkEnd w:id="123"/>
    </w:p>
    <w:p w14:paraId="70B6F474">
      <w:pPr>
        <w:pStyle w:val="6"/>
        <w:rPr>
          <w:color w:val="auto"/>
          <w:highlight w:val="none"/>
        </w:rPr>
      </w:pPr>
      <w:r>
        <w:rPr>
          <w:color w:val="auto"/>
          <w:highlight w:val="none"/>
        </w:rPr>
        <w:t>一、建立与资源环境承载力</w:t>
      </w:r>
      <w:r>
        <w:rPr>
          <w:rFonts w:hint="eastAsia"/>
          <w:color w:val="auto"/>
          <w:highlight w:val="none"/>
        </w:rPr>
        <w:t>和开发适宜性评价</w:t>
      </w:r>
      <w:r>
        <w:rPr>
          <w:color w:val="auto"/>
          <w:highlight w:val="none"/>
        </w:rPr>
        <w:t>相匹配的农业产业布局</w:t>
      </w:r>
    </w:p>
    <w:p w14:paraId="35CCF9A0">
      <w:pPr>
        <w:ind w:firstLine="600"/>
        <w:rPr>
          <w:rFonts w:eastAsia="方正仿宋_GBK"/>
          <w:color w:val="auto"/>
          <w:sz w:val="30"/>
          <w:szCs w:val="30"/>
          <w:highlight w:val="none"/>
        </w:rPr>
      </w:pPr>
      <w:r>
        <w:rPr>
          <w:rFonts w:hint="eastAsia" w:eastAsia="方正仿宋_GBK"/>
          <w:color w:val="auto"/>
          <w:sz w:val="30"/>
          <w:szCs w:val="30"/>
          <w:highlight w:val="none"/>
        </w:rPr>
        <w:t>充分考虑楚雄州农业生产适宜性评价成果、</w:t>
      </w:r>
      <w:r>
        <w:rPr>
          <w:rFonts w:eastAsia="方正仿宋_GBK"/>
          <w:color w:val="auto"/>
          <w:sz w:val="30"/>
          <w:szCs w:val="30"/>
          <w:highlight w:val="none"/>
        </w:rPr>
        <w:t>现状稳定耕地、永久基本农田、两区划定成果及农业产业布局的前提下，塑造</w:t>
      </w:r>
      <w:r>
        <w:rPr>
          <w:rFonts w:hint="eastAsia" w:eastAsia="方正仿宋_GBK"/>
          <w:color w:val="auto"/>
          <w:sz w:val="30"/>
          <w:szCs w:val="30"/>
          <w:highlight w:val="none"/>
        </w:rPr>
        <w:t>“三区</w:t>
      </w:r>
      <w:r>
        <w:rPr>
          <w:rFonts w:eastAsia="方正仿宋_GBK"/>
          <w:color w:val="auto"/>
          <w:sz w:val="30"/>
          <w:szCs w:val="30"/>
          <w:highlight w:val="none"/>
        </w:rPr>
        <w:t>两带</w:t>
      </w:r>
      <w:r>
        <w:rPr>
          <w:rFonts w:hint="eastAsia" w:eastAsia="方正仿宋_GBK"/>
          <w:color w:val="auto"/>
          <w:sz w:val="30"/>
          <w:szCs w:val="30"/>
          <w:highlight w:val="none"/>
        </w:rPr>
        <w:t>”</w:t>
      </w:r>
      <w:r>
        <w:rPr>
          <w:rFonts w:eastAsia="方正仿宋_GBK"/>
          <w:color w:val="auto"/>
          <w:sz w:val="30"/>
          <w:szCs w:val="30"/>
          <w:highlight w:val="none"/>
        </w:rPr>
        <w:t>农业空间格局。金沙江干热河谷特色种业果蔬农业带位于元谋县、永仁县</w:t>
      </w:r>
      <w:r>
        <w:rPr>
          <w:rFonts w:hint="eastAsia" w:eastAsia="方正仿宋_GBK"/>
          <w:color w:val="auto"/>
          <w:sz w:val="30"/>
          <w:szCs w:val="30"/>
          <w:highlight w:val="none"/>
        </w:rPr>
        <w:t>和武定县</w:t>
      </w:r>
      <w:r>
        <w:rPr>
          <w:rFonts w:eastAsia="方正仿宋_GBK"/>
          <w:color w:val="auto"/>
          <w:sz w:val="30"/>
          <w:szCs w:val="30"/>
          <w:highlight w:val="none"/>
        </w:rPr>
        <w:t>金沙江流域，大力发展蔬菜、水果、花卉、种业；元江流域特色农业带位于双柏县、楚雄市西南部、南华</w:t>
      </w:r>
      <w:r>
        <w:rPr>
          <w:rFonts w:hint="eastAsia" w:eastAsia="方正仿宋_GBK"/>
          <w:color w:val="auto"/>
          <w:sz w:val="30"/>
          <w:szCs w:val="30"/>
          <w:highlight w:val="none"/>
        </w:rPr>
        <w:t>县</w:t>
      </w:r>
      <w:r>
        <w:rPr>
          <w:rFonts w:eastAsia="方正仿宋_GBK"/>
          <w:color w:val="auto"/>
          <w:sz w:val="30"/>
          <w:szCs w:val="30"/>
          <w:highlight w:val="none"/>
        </w:rPr>
        <w:t>西南部，主要发展中药材、粮食、畜禽、烤烟；中部高原特色现代农业粮食主产区位于楚雄市中部以及东北部、牟定南部、禄丰西部，发展粮食、畜禽、烤烟；</w:t>
      </w:r>
      <w:r>
        <w:rPr>
          <w:rFonts w:hint="eastAsia" w:eastAsia="方正仿宋_GBK"/>
          <w:color w:val="auto"/>
          <w:sz w:val="30"/>
          <w:szCs w:val="30"/>
          <w:highlight w:val="none"/>
        </w:rPr>
        <w:t>西部高原粮食主产区</w:t>
      </w:r>
      <w:r>
        <w:rPr>
          <w:rFonts w:eastAsia="方正仿宋_GBK"/>
          <w:color w:val="auto"/>
          <w:sz w:val="30"/>
          <w:szCs w:val="30"/>
          <w:highlight w:val="none"/>
        </w:rPr>
        <w:t>位于大姚县南部、姚安县中部、南华中部和北部，发展</w:t>
      </w:r>
      <w:r>
        <w:rPr>
          <w:rFonts w:hint="eastAsia" w:eastAsia="方正仿宋_GBK"/>
          <w:color w:val="auto"/>
          <w:sz w:val="30"/>
          <w:szCs w:val="30"/>
          <w:highlight w:val="none"/>
        </w:rPr>
        <w:t>水稻、玉米、</w:t>
      </w:r>
      <w:r>
        <w:rPr>
          <w:rFonts w:eastAsia="方正仿宋_GBK"/>
          <w:color w:val="auto"/>
          <w:sz w:val="30"/>
          <w:szCs w:val="30"/>
          <w:highlight w:val="none"/>
        </w:rPr>
        <w:t>核桃、烤烟</w:t>
      </w:r>
      <w:r>
        <w:rPr>
          <w:rFonts w:hint="eastAsia" w:eastAsia="方正仿宋_GBK"/>
          <w:color w:val="auto"/>
          <w:sz w:val="30"/>
          <w:szCs w:val="30"/>
          <w:highlight w:val="none"/>
        </w:rPr>
        <w:t>、</w:t>
      </w:r>
      <w:r>
        <w:rPr>
          <w:rFonts w:eastAsia="方正仿宋_GBK"/>
          <w:color w:val="auto"/>
          <w:sz w:val="30"/>
          <w:szCs w:val="30"/>
          <w:highlight w:val="none"/>
        </w:rPr>
        <w:t>野生菌、魔芋、花椒、板栗；东部乌蒙山粮食主产区</w:t>
      </w:r>
      <w:r>
        <w:rPr>
          <w:rFonts w:hint="eastAsia" w:eastAsia="方正仿宋_GBK"/>
          <w:color w:val="auto"/>
          <w:sz w:val="30"/>
          <w:szCs w:val="30"/>
          <w:highlight w:val="none"/>
        </w:rPr>
        <w:t>位于</w:t>
      </w:r>
      <w:r>
        <w:rPr>
          <w:rFonts w:eastAsia="方正仿宋_GBK"/>
          <w:color w:val="auto"/>
          <w:sz w:val="30"/>
          <w:szCs w:val="30"/>
          <w:highlight w:val="none"/>
        </w:rPr>
        <w:t>武定县、禄丰市中部和东部区域，发展粮食、畜禽、花卉、烤烟。</w:t>
      </w:r>
    </w:p>
    <w:p w14:paraId="13913DBA">
      <w:pPr>
        <w:pStyle w:val="6"/>
        <w:rPr>
          <w:color w:val="auto"/>
          <w:highlight w:val="none"/>
        </w:rPr>
      </w:pPr>
      <w:r>
        <w:rPr>
          <w:color w:val="auto"/>
          <w:highlight w:val="none"/>
        </w:rPr>
        <w:t>二、发展与气候分区相匹配的农业种植业</w:t>
      </w:r>
    </w:p>
    <w:p w14:paraId="45F9D0CD">
      <w:pPr>
        <w:ind w:firstLine="600"/>
        <w:rPr>
          <w:rFonts w:eastAsia="方正仿宋_GBK"/>
          <w:color w:val="auto"/>
          <w:sz w:val="30"/>
          <w:szCs w:val="30"/>
          <w:highlight w:val="none"/>
        </w:rPr>
      </w:pPr>
      <w:r>
        <w:rPr>
          <w:rFonts w:eastAsia="方正仿宋_GBK"/>
          <w:color w:val="auto"/>
          <w:sz w:val="30"/>
          <w:szCs w:val="30"/>
          <w:highlight w:val="none"/>
        </w:rPr>
        <w:t>充分发挥楚雄气候、水土、光热优势，突出立体特征和高原特色，优化产业结构、转变发展方式，促进农业产业提质增效。</w:t>
      </w:r>
    </w:p>
    <w:p w14:paraId="1BCC2636">
      <w:pPr>
        <w:ind w:firstLine="600"/>
        <w:rPr>
          <w:rFonts w:eastAsia="方正仿宋_GBK"/>
          <w:color w:val="auto"/>
          <w:sz w:val="30"/>
          <w:szCs w:val="30"/>
          <w:highlight w:val="none"/>
        </w:rPr>
      </w:pPr>
      <w:r>
        <w:rPr>
          <w:rFonts w:ascii="方正楷体_GBK" w:eastAsia="方正楷体_GBK"/>
          <w:color w:val="auto"/>
          <w:sz w:val="30"/>
          <w:szCs w:val="30"/>
          <w:highlight w:val="none"/>
        </w:rPr>
        <w:t>海拔1300m及以下的低热河谷地带。</w:t>
      </w:r>
      <w:r>
        <w:rPr>
          <w:rFonts w:eastAsia="方正仿宋_GBK"/>
          <w:color w:val="auto"/>
          <w:sz w:val="30"/>
          <w:szCs w:val="30"/>
          <w:highlight w:val="none"/>
        </w:rPr>
        <w:t>主要包含金沙江、礼社江、绿汁江流域，是南亚热带气候农业经济带，主要种植冬季蔬菜（如元谋县的元菜系列蔬菜）、冬季繁种、热带或亚热带早熟水果（如早熟鲜食葡萄），蔬菜品种多，可常年供应市场。</w:t>
      </w:r>
    </w:p>
    <w:p w14:paraId="01E2A203">
      <w:pPr>
        <w:ind w:firstLine="600"/>
        <w:rPr>
          <w:color w:val="auto"/>
          <w:sz w:val="30"/>
          <w:szCs w:val="30"/>
          <w:highlight w:val="none"/>
        </w:rPr>
      </w:pPr>
      <w:r>
        <w:rPr>
          <w:rFonts w:ascii="方正楷体_GBK" w:eastAsia="方正楷体_GBK"/>
          <w:color w:val="auto"/>
          <w:sz w:val="30"/>
          <w:szCs w:val="30"/>
          <w:highlight w:val="none"/>
        </w:rPr>
        <w:t>海拔1300～1600m地带。</w:t>
      </w:r>
      <w:r>
        <w:rPr>
          <w:rFonts w:eastAsia="方正仿宋_GBK"/>
          <w:color w:val="auto"/>
          <w:sz w:val="30"/>
          <w:szCs w:val="30"/>
          <w:highlight w:val="none"/>
        </w:rPr>
        <w:t>光热资源丰富，年降水量适中、霜期短，是亚热带气候农业经济带，以春早蔬菜、冬季蔬菜、亚热带水果种植为主，部分区域发展冬季繁种和花卉种植为主。气候带内水果、蔬菜、花卉等品种较多，产品基本能常年供应市场，代表性地区有禄丰市彩云镇（罗川）和永仁县永定镇及周边相似地带。</w:t>
      </w:r>
    </w:p>
    <w:p w14:paraId="6E6E1000">
      <w:pPr>
        <w:ind w:firstLine="600"/>
        <w:rPr>
          <w:color w:val="auto"/>
          <w:sz w:val="30"/>
          <w:szCs w:val="30"/>
          <w:highlight w:val="none"/>
        </w:rPr>
      </w:pPr>
      <w:r>
        <w:rPr>
          <w:rFonts w:ascii="方正楷体_GBK" w:eastAsia="方正楷体_GBK"/>
          <w:color w:val="auto"/>
          <w:sz w:val="30"/>
          <w:szCs w:val="30"/>
          <w:highlight w:val="none"/>
        </w:rPr>
        <w:t>海拔1600～2100m地带。</w:t>
      </w:r>
      <w:r>
        <w:rPr>
          <w:rFonts w:eastAsia="方正仿宋_GBK"/>
          <w:color w:val="auto"/>
          <w:sz w:val="30"/>
          <w:szCs w:val="30"/>
          <w:highlight w:val="none"/>
        </w:rPr>
        <w:t>气候温暖，热量和光照适中，是典型的北亚热带气候经济带，该区包括楚雄州境内除元谋盆地、金沙江低热河谷、礼社江河谷、冷凉地区和高寒山区以外的绝大部分坝区和少部分山区、半山区，区内整体经济较发达，耕地的水利可灌溉率和农业种植水平较高，是楚雄州粮经作物主产区，也是全州水稻、玉米和烤烟种植的适宜区，主产烤烟、蚕桑、蔬菜、经济林果、花卉等经济作物和水稻、玉米、豆类等粮食作物。</w:t>
      </w:r>
    </w:p>
    <w:p w14:paraId="0F68B1B6">
      <w:pPr>
        <w:ind w:firstLine="600"/>
        <w:rPr>
          <w:rFonts w:eastAsia="方正仿宋_GBK"/>
          <w:color w:val="auto"/>
          <w:sz w:val="30"/>
          <w:szCs w:val="30"/>
          <w:highlight w:val="none"/>
        </w:rPr>
      </w:pPr>
      <w:r>
        <w:rPr>
          <w:rFonts w:ascii="方正楷体_GBK" w:eastAsia="方正楷体_GBK"/>
          <w:color w:val="auto"/>
          <w:sz w:val="30"/>
          <w:szCs w:val="30"/>
          <w:highlight w:val="none"/>
        </w:rPr>
        <w:t>海拔2100～2400m地带。</w:t>
      </w:r>
      <w:r>
        <w:rPr>
          <w:rFonts w:eastAsia="方正仿宋_GBK"/>
          <w:color w:val="auto"/>
          <w:sz w:val="30"/>
          <w:szCs w:val="30"/>
          <w:highlight w:val="none"/>
        </w:rPr>
        <w:t>楚雄州境内的冷凉山区，气候温凉，光照足，热量稍差，霜期较长，是典型的温带气候经济带。该经济带主要代表地区有姚安县前场，南华县天申堂，武定县高桥、白露等，区内主要经济作物有野生食用菌、核桃、梨、花椒、板栗、中药材和特色（冬季）蔬菜等，该经济带盛产的野生食用菌、中药材、花椒和核桃是楚雄州主要的地标性特色农业和生态农业经济的重要组成部分，农作物品种较少，市场供应的季节性强。</w:t>
      </w:r>
    </w:p>
    <w:p w14:paraId="3E765847">
      <w:pPr>
        <w:ind w:firstLine="600"/>
        <w:rPr>
          <w:rFonts w:eastAsia="方正仿宋_GBK"/>
          <w:color w:val="auto"/>
          <w:sz w:val="30"/>
          <w:szCs w:val="30"/>
          <w:highlight w:val="none"/>
        </w:rPr>
      </w:pPr>
      <w:r>
        <w:rPr>
          <w:rFonts w:ascii="方正楷体_GBK" w:eastAsia="方正楷体_GBK"/>
          <w:color w:val="auto"/>
          <w:sz w:val="30"/>
          <w:szCs w:val="30"/>
          <w:highlight w:val="none"/>
        </w:rPr>
        <w:t>海拔2400m以上地带。</w:t>
      </w:r>
      <w:r>
        <w:rPr>
          <w:rFonts w:eastAsia="方正仿宋_GBK"/>
          <w:color w:val="auto"/>
          <w:sz w:val="30"/>
          <w:szCs w:val="30"/>
          <w:highlight w:val="none"/>
        </w:rPr>
        <w:t>气候冷凉（局部寒冷），热量不足，多云雾天气，光照稍差，霜期长，是楚雄州境内的温带气候经济带，主要代表地区有南华县五街，楚雄市紫溪山，姚安县左门、前场，大姚县三台、昙华等，主要以麦类、马铃薯、豆类和少量反季特色蔬菜种植或畜牧养殖为主，兼有部分中药材、野生食用菌类（如松茸等）。</w:t>
      </w:r>
    </w:p>
    <w:p w14:paraId="5D25685E">
      <w:pPr>
        <w:pStyle w:val="6"/>
        <w:rPr>
          <w:color w:val="auto"/>
          <w:highlight w:val="none"/>
        </w:rPr>
      </w:pPr>
      <w:r>
        <w:rPr>
          <w:color w:val="auto"/>
          <w:highlight w:val="none"/>
        </w:rPr>
        <w:t>三、构建高原特色现代农业产业格局</w:t>
      </w:r>
    </w:p>
    <w:p w14:paraId="7F21D069">
      <w:pPr>
        <w:ind w:firstLine="600"/>
        <w:rPr>
          <w:rFonts w:eastAsia="方正仿宋_GBK"/>
          <w:color w:val="auto"/>
          <w:sz w:val="30"/>
          <w:szCs w:val="30"/>
          <w:highlight w:val="none"/>
        </w:rPr>
      </w:pPr>
      <w:r>
        <w:rPr>
          <w:rFonts w:eastAsia="方正仿宋_GBK"/>
          <w:color w:val="auto"/>
          <w:sz w:val="30"/>
          <w:szCs w:val="30"/>
          <w:highlight w:val="none"/>
        </w:rPr>
        <w:t>充分发挥楚雄</w:t>
      </w:r>
      <w:r>
        <w:rPr>
          <w:rFonts w:hint="eastAsia" w:eastAsia="方正仿宋_GBK"/>
          <w:color w:val="auto"/>
          <w:sz w:val="30"/>
          <w:szCs w:val="30"/>
          <w:highlight w:val="none"/>
        </w:rPr>
        <w:t>“</w:t>
      </w:r>
      <w:r>
        <w:rPr>
          <w:rFonts w:eastAsia="方正仿宋_GBK"/>
          <w:color w:val="auto"/>
          <w:sz w:val="30"/>
          <w:szCs w:val="30"/>
          <w:highlight w:val="none"/>
        </w:rPr>
        <w:t>三山两水一分坝</w:t>
      </w:r>
      <w:r>
        <w:rPr>
          <w:rFonts w:hint="eastAsia" w:eastAsia="方正仿宋_GBK"/>
          <w:color w:val="auto"/>
          <w:sz w:val="30"/>
          <w:szCs w:val="30"/>
          <w:highlight w:val="none"/>
        </w:rPr>
        <w:t>”“</w:t>
      </w:r>
      <w:r>
        <w:rPr>
          <w:rFonts w:eastAsia="方正仿宋_GBK"/>
          <w:color w:val="auto"/>
          <w:sz w:val="30"/>
          <w:szCs w:val="30"/>
          <w:highlight w:val="none"/>
        </w:rPr>
        <w:t>五江六河三区</w:t>
      </w:r>
      <w:r>
        <w:rPr>
          <w:rFonts w:hint="eastAsia" w:eastAsia="方正仿宋_GBK"/>
          <w:color w:val="auto"/>
          <w:sz w:val="30"/>
          <w:szCs w:val="30"/>
          <w:highlight w:val="none"/>
        </w:rPr>
        <w:t>”</w:t>
      </w:r>
      <w:r>
        <w:rPr>
          <w:rFonts w:eastAsia="方正仿宋_GBK"/>
          <w:color w:val="auto"/>
          <w:sz w:val="30"/>
          <w:szCs w:val="30"/>
          <w:highlight w:val="none"/>
        </w:rPr>
        <w:t>的光热水土优势，按照</w:t>
      </w:r>
      <w:r>
        <w:rPr>
          <w:rFonts w:hint="eastAsia" w:eastAsia="方正仿宋_GBK"/>
          <w:color w:val="auto"/>
          <w:sz w:val="30"/>
          <w:szCs w:val="30"/>
          <w:highlight w:val="none"/>
        </w:rPr>
        <w:t>“</w:t>
      </w:r>
      <w:r>
        <w:rPr>
          <w:rFonts w:eastAsia="方正仿宋_GBK"/>
          <w:color w:val="auto"/>
          <w:sz w:val="30"/>
          <w:szCs w:val="30"/>
          <w:highlight w:val="none"/>
        </w:rPr>
        <w:t>双核引领、三山布带、二水聚区、一坝建园、集群打造、融合发展</w:t>
      </w:r>
      <w:r>
        <w:rPr>
          <w:rFonts w:hint="eastAsia" w:eastAsia="方正仿宋_GBK"/>
          <w:color w:val="auto"/>
          <w:sz w:val="30"/>
          <w:szCs w:val="30"/>
          <w:highlight w:val="none"/>
        </w:rPr>
        <w:t>”</w:t>
      </w:r>
      <w:r>
        <w:rPr>
          <w:rFonts w:eastAsia="方正仿宋_GBK"/>
          <w:color w:val="auto"/>
          <w:sz w:val="30"/>
          <w:szCs w:val="30"/>
          <w:highlight w:val="none"/>
        </w:rPr>
        <w:t>的布局，以保障粮食安全和重要农产品有效供给为前提</w:t>
      </w:r>
      <w:r>
        <w:rPr>
          <w:rFonts w:hint="eastAsia" w:eastAsia="方正仿宋_GBK"/>
          <w:color w:val="auto"/>
          <w:sz w:val="30"/>
          <w:szCs w:val="30"/>
          <w:highlight w:val="none"/>
        </w:rPr>
        <w:t>，</w:t>
      </w:r>
      <w:r>
        <w:rPr>
          <w:rFonts w:eastAsia="方正仿宋_GBK"/>
          <w:color w:val="auto"/>
          <w:sz w:val="30"/>
          <w:szCs w:val="30"/>
          <w:highlight w:val="none"/>
        </w:rPr>
        <w:t>大力推进农业现代化，加快发展以健康养殖、绿色果蔬、精品花卉、道地药材、生态林果、山珍野菌、现代种业为主的高原特色现代农业，着力打造</w:t>
      </w:r>
      <w:r>
        <w:rPr>
          <w:rFonts w:hint="eastAsia" w:eastAsia="方正仿宋_GBK"/>
          <w:color w:val="auto"/>
          <w:sz w:val="30"/>
          <w:szCs w:val="30"/>
          <w:highlight w:val="none"/>
        </w:rPr>
        <w:t>“</w:t>
      </w:r>
      <w:r>
        <w:rPr>
          <w:rFonts w:eastAsia="方正仿宋_GBK"/>
          <w:color w:val="auto"/>
          <w:sz w:val="30"/>
          <w:szCs w:val="30"/>
          <w:highlight w:val="none"/>
        </w:rPr>
        <w:t>一县一业</w:t>
      </w:r>
      <w:r>
        <w:rPr>
          <w:rFonts w:hint="eastAsia" w:eastAsia="方正仿宋_GBK"/>
          <w:color w:val="auto"/>
          <w:sz w:val="30"/>
          <w:szCs w:val="30"/>
          <w:highlight w:val="none"/>
        </w:rPr>
        <w:t>”</w:t>
      </w:r>
      <w:r>
        <w:rPr>
          <w:rFonts w:eastAsia="方正仿宋_GBK"/>
          <w:color w:val="auto"/>
          <w:sz w:val="30"/>
          <w:szCs w:val="30"/>
          <w:highlight w:val="none"/>
        </w:rPr>
        <w:t>示范县、特色县。</w:t>
      </w:r>
    </w:p>
    <w:p w14:paraId="4F454C6C">
      <w:pPr>
        <w:ind w:firstLine="600"/>
        <w:rPr>
          <w:rFonts w:eastAsia="方正仿宋_GBK"/>
          <w:color w:val="auto"/>
          <w:sz w:val="30"/>
          <w:szCs w:val="30"/>
          <w:highlight w:val="none"/>
        </w:rPr>
      </w:pPr>
      <w:r>
        <w:rPr>
          <w:rFonts w:ascii="方正楷体_GBK" w:eastAsia="方正楷体_GBK"/>
          <w:color w:val="auto"/>
          <w:sz w:val="30"/>
          <w:szCs w:val="30"/>
          <w:highlight w:val="none"/>
        </w:rPr>
        <w:t>双核引领。</w:t>
      </w:r>
      <w:r>
        <w:rPr>
          <w:rFonts w:eastAsia="方正仿宋_GBK"/>
          <w:color w:val="auto"/>
          <w:sz w:val="30"/>
          <w:szCs w:val="30"/>
          <w:highlight w:val="none"/>
        </w:rPr>
        <w:t>以楚雄高新技术产业开发区和楚雄国家农业科技园核心区为示范引领和核心支撑，辐射带动全州农业产业园发展。楚雄市以绿色、有机食品研发、加工、销售为重点，加快建设赵家湾绿色食品加工示范园、富民工业大麻加工园，发展以核桃精深加工为主的植物蛋白生产，布局产加销贯通、贸工农一体、一二三产业融合发展的楚雄农产品加工园区，努力成为全州农业产业园的增长极</w:t>
      </w:r>
      <w:r>
        <w:rPr>
          <w:rFonts w:hint="eastAsia" w:eastAsia="方正仿宋_GBK"/>
          <w:color w:val="auto"/>
          <w:sz w:val="30"/>
          <w:szCs w:val="30"/>
          <w:highlight w:val="none"/>
        </w:rPr>
        <w:t>。</w:t>
      </w:r>
      <w:r>
        <w:rPr>
          <w:rFonts w:eastAsia="方正仿宋_GBK"/>
          <w:color w:val="auto"/>
          <w:sz w:val="30"/>
          <w:szCs w:val="30"/>
          <w:highlight w:val="none"/>
        </w:rPr>
        <w:t>元谋县依托</w:t>
      </w:r>
      <w:r>
        <w:rPr>
          <w:rFonts w:hint="eastAsia" w:eastAsia="方正仿宋_GBK"/>
          <w:color w:val="auto"/>
          <w:sz w:val="30"/>
          <w:szCs w:val="30"/>
          <w:highlight w:val="none"/>
        </w:rPr>
        <w:t>“</w:t>
      </w:r>
      <w:r>
        <w:rPr>
          <w:rFonts w:eastAsia="方正仿宋_GBK"/>
          <w:color w:val="auto"/>
          <w:sz w:val="30"/>
          <w:szCs w:val="30"/>
          <w:highlight w:val="none"/>
        </w:rPr>
        <w:t>冬早蔬菜之乡</w:t>
      </w:r>
      <w:r>
        <w:rPr>
          <w:rFonts w:hint="eastAsia" w:eastAsia="方正仿宋_GBK"/>
          <w:color w:val="auto"/>
          <w:sz w:val="30"/>
          <w:szCs w:val="30"/>
          <w:highlight w:val="none"/>
        </w:rPr>
        <w:t>”“</w:t>
      </w:r>
      <w:r>
        <w:rPr>
          <w:rFonts w:eastAsia="方正仿宋_GBK"/>
          <w:color w:val="auto"/>
          <w:sz w:val="30"/>
          <w:szCs w:val="30"/>
          <w:highlight w:val="none"/>
        </w:rPr>
        <w:t>南繁基地</w:t>
      </w:r>
      <w:r>
        <w:rPr>
          <w:rFonts w:hint="eastAsia" w:eastAsia="方正仿宋_GBK"/>
          <w:color w:val="auto"/>
          <w:sz w:val="30"/>
          <w:szCs w:val="30"/>
          <w:highlight w:val="none"/>
        </w:rPr>
        <w:t>”</w:t>
      </w:r>
      <w:r>
        <w:rPr>
          <w:rFonts w:eastAsia="方正仿宋_GBK"/>
          <w:color w:val="auto"/>
          <w:sz w:val="30"/>
          <w:szCs w:val="30"/>
          <w:highlight w:val="none"/>
        </w:rPr>
        <w:t>和蔬菜出口备案基地，建设元谋现代果蔬产业园和现代种业科技园，布局科技创新示范区、加工物流示范区、农旅融合示范区。</w:t>
      </w:r>
    </w:p>
    <w:p w14:paraId="3091A3E0">
      <w:pPr>
        <w:ind w:firstLine="600"/>
        <w:rPr>
          <w:rFonts w:eastAsia="方正仿宋_GBK"/>
          <w:color w:val="auto"/>
          <w:sz w:val="30"/>
          <w:szCs w:val="30"/>
          <w:highlight w:val="none"/>
        </w:rPr>
      </w:pPr>
      <w:r>
        <w:rPr>
          <w:rFonts w:ascii="方正楷体_GBK" w:eastAsia="方正楷体_GBK"/>
          <w:color w:val="auto"/>
          <w:sz w:val="30"/>
          <w:szCs w:val="30"/>
          <w:highlight w:val="none"/>
        </w:rPr>
        <w:t>三山布带。</w:t>
      </w:r>
      <w:r>
        <w:rPr>
          <w:rFonts w:eastAsia="方正仿宋_GBK"/>
          <w:color w:val="auto"/>
          <w:sz w:val="30"/>
          <w:szCs w:val="30"/>
          <w:highlight w:val="none"/>
        </w:rPr>
        <w:t>布局东部乌蒙山、西南哀牢山、西北百草岭海拔1450米以下低热河谷特色农业发展带、1450—1950米中海拔地区优势农业发展带、1950米以上高海拔高山生态农业产业带。</w:t>
      </w:r>
    </w:p>
    <w:p w14:paraId="5E489DA4">
      <w:pPr>
        <w:ind w:firstLine="600"/>
        <w:rPr>
          <w:color w:val="auto"/>
          <w:sz w:val="30"/>
          <w:szCs w:val="30"/>
          <w:highlight w:val="none"/>
        </w:rPr>
      </w:pPr>
      <w:r>
        <w:rPr>
          <w:rFonts w:ascii="方正楷体_GBK" w:eastAsia="方正楷体_GBK"/>
          <w:color w:val="auto"/>
          <w:sz w:val="30"/>
          <w:szCs w:val="30"/>
          <w:highlight w:val="none"/>
        </w:rPr>
        <w:t>二水聚区。</w:t>
      </w:r>
      <w:r>
        <w:rPr>
          <w:rFonts w:eastAsia="方正仿宋_GBK"/>
          <w:color w:val="auto"/>
          <w:sz w:val="30"/>
          <w:szCs w:val="30"/>
          <w:highlight w:val="none"/>
        </w:rPr>
        <w:t>穿境而过的</w:t>
      </w:r>
      <w:r>
        <w:rPr>
          <w:rFonts w:hint="eastAsia" w:eastAsia="方正仿宋_GBK"/>
          <w:color w:val="auto"/>
          <w:sz w:val="30"/>
          <w:szCs w:val="30"/>
          <w:highlight w:val="none"/>
        </w:rPr>
        <w:t>金沙江（长江）、元江（红河）</w:t>
      </w:r>
      <w:r>
        <w:rPr>
          <w:rFonts w:eastAsia="方正仿宋_GBK"/>
          <w:color w:val="auto"/>
          <w:sz w:val="30"/>
          <w:szCs w:val="30"/>
          <w:highlight w:val="none"/>
        </w:rPr>
        <w:t>两大水系</w:t>
      </w:r>
      <w:r>
        <w:rPr>
          <w:rFonts w:hint="eastAsia" w:eastAsia="方正仿宋_GBK"/>
          <w:color w:val="auto"/>
          <w:sz w:val="30"/>
          <w:szCs w:val="30"/>
          <w:highlight w:val="none"/>
        </w:rPr>
        <w:t>“</w:t>
      </w:r>
      <w:r>
        <w:rPr>
          <w:rFonts w:eastAsia="方正仿宋_GBK"/>
          <w:color w:val="auto"/>
          <w:sz w:val="30"/>
          <w:szCs w:val="30"/>
          <w:highlight w:val="none"/>
        </w:rPr>
        <w:t>二水分流</w:t>
      </w:r>
      <w:r>
        <w:rPr>
          <w:rFonts w:hint="eastAsia" w:eastAsia="方正仿宋_GBK"/>
          <w:color w:val="auto"/>
          <w:sz w:val="30"/>
          <w:szCs w:val="30"/>
          <w:highlight w:val="none"/>
        </w:rPr>
        <w:t>”</w:t>
      </w:r>
      <w:r>
        <w:rPr>
          <w:rFonts w:eastAsia="方正仿宋_GBK"/>
          <w:color w:val="auto"/>
          <w:sz w:val="30"/>
          <w:szCs w:val="30"/>
          <w:highlight w:val="none"/>
        </w:rPr>
        <w:t>，这些江河流域聚集区光热充足、土地资源丰富、人口聚集度高，根据农业资源禀赋、环境承载力等因素，打造金沙江流域现代农业产业示范区、红河三江流域现代农业产业示范区。</w:t>
      </w:r>
    </w:p>
    <w:p w14:paraId="22D4918B">
      <w:pPr>
        <w:ind w:firstLine="600"/>
        <w:rPr>
          <w:rFonts w:eastAsia="方正仿宋_GBK"/>
          <w:color w:val="auto"/>
          <w:sz w:val="30"/>
          <w:szCs w:val="30"/>
          <w:highlight w:val="none"/>
        </w:rPr>
      </w:pPr>
      <w:r>
        <w:rPr>
          <w:rFonts w:ascii="方正楷体_GBK" w:eastAsia="方正楷体_GBK"/>
          <w:color w:val="auto"/>
          <w:sz w:val="30"/>
          <w:szCs w:val="30"/>
          <w:highlight w:val="none"/>
        </w:rPr>
        <w:t>一坝建园。</w:t>
      </w:r>
      <w:r>
        <w:rPr>
          <w:rFonts w:eastAsia="方正仿宋_GBK"/>
          <w:color w:val="auto"/>
          <w:sz w:val="30"/>
          <w:szCs w:val="30"/>
          <w:highlight w:val="none"/>
        </w:rPr>
        <w:t>楚雄州</w:t>
      </w:r>
      <w:r>
        <w:rPr>
          <w:rFonts w:hint="eastAsia" w:eastAsia="方正仿宋_GBK"/>
          <w:color w:val="auto"/>
          <w:sz w:val="30"/>
          <w:szCs w:val="30"/>
          <w:highlight w:val="none"/>
        </w:rPr>
        <w:t>“</w:t>
      </w:r>
      <w:r>
        <w:rPr>
          <w:rFonts w:eastAsia="方正仿宋_GBK"/>
          <w:color w:val="auto"/>
          <w:sz w:val="30"/>
          <w:szCs w:val="30"/>
          <w:highlight w:val="none"/>
        </w:rPr>
        <w:t>三山鼎立</w:t>
      </w:r>
      <w:r>
        <w:rPr>
          <w:rFonts w:hint="eastAsia" w:eastAsia="方正仿宋_GBK"/>
          <w:color w:val="auto"/>
          <w:sz w:val="30"/>
          <w:szCs w:val="30"/>
          <w:highlight w:val="none"/>
        </w:rPr>
        <w:t>”“</w:t>
      </w:r>
      <w:r>
        <w:rPr>
          <w:rFonts w:eastAsia="方正仿宋_GBK"/>
          <w:color w:val="auto"/>
          <w:sz w:val="30"/>
          <w:szCs w:val="30"/>
          <w:highlight w:val="none"/>
        </w:rPr>
        <w:t>二水分流</w:t>
      </w:r>
      <w:r>
        <w:rPr>
          <w:rFonts w:hint="eastAsia" w:eastAsia="方正仿宋_GBK"/>
          <w:color w:val="auto"/>
          <w:sz w:val="30"/>
          <w:szCs w:val="30"/>
          <w:highlight w:val="none"/>
        </w:rPr>
        <w:t>”</w:t>
      </w:r>
      <w:r>
        <w:rPr>
          <w:rFonts w:eastAsia="方正仿宋_GBK"/>
          <w:color w:val="auto"/>
          <w:sz w:val="30"/>
          <w:szCs w:val="30"/>
          <w:highlight w:val="none"/>
        </w:rPr>
        <w:t>的地形地貌，交错分割形成了若干大大小小的坝子（盆地）或平缓丘陵地带，这些区域耕地较多，土地肥沃、交通便捷，农业产业发展基础条件较好，依托大小坝子合理布局</w:t>
      </w:r>
      <w:r>
        <w:rPr>
          <w:rFonts w:hint="eastAsia" w:eastAsia="方正仿宋_GBK"/>
          <w:color w:val="auto"/>
          <w:sz w:val="30"/>
          <w:szCs w:val="30"/>
          <w:highlight w:val="none"/>
        </w:rPr>
        <w:t>“</w:t>
      </w:r>
      <w:r>
        <w:rPr>
          <w:rFonts w:eastAsia="方正仿宋_GBK"/>
          <w:color w:val="auto"/>
          <w:sz w:val="30"/>
          <w:szCs w:val="30"/>
          <w:highlight w:val="none"/>
        </w:rPr>
        <w:t>一园多区</w:t>
      </w:r>
      <w:r>
        <w:rPr>
          <w:rFonts w:hint="eastAsia" w:eastAsia="方正仿宋_GBK"/>
          <w:color w:val="auto"/>
          <w:sz w:val="30"/>
          <w:szCs w:val="30"/>
          <w:highlight w:val="none"/>
        </w:rPr>
        <w:t>”</w:t>
      </w:r>
      <w:r>
        <w:rPr>
          <w:rFonts w:eastAsia="方正仿宋_GBK"/>
          <w:color w:val="auto"/>
          <w:sz w:val="30"/>
          <w:szCs w:val="30"/>
          <w:highlight w:val="none"/>
        </w:rPr>
        <w:t>或</w:t>
      </w:r>
      <w:r>
        <w:rPr>
          <w:rFonts w:hint="eastAsia" w:eastAsia="方正仿宋_GBK"/>
          <w:color w:val="auto"/>
          <w:sz w:val="30"/>
          <w:szCs w:val="30"/>
          <w:highlight w:val="none"/>
        </w:rPr>
        <w:t>“</w:t>
      </w:r>
      <w:r>
        <w:rPr>
          <w:rFonts w:eastAsia="方正仿宋_GBK"/>
          <w:color w:val="auto"/>
          <w:sz w:val="30"/>
          <w:szCs w:val="30"/>
          <w:highlight w:val="none"/>
        </w:rPr>
        <w:t>一园多基地</w:t>
      </w:r>
      <w:r>
        <w:rPr>
          <w:rFonts w:hint="eastAsia" w:eastAsia="方正仿宋_GBK"/>
          <w:color w:val="auto"/>
          <w:sz w:val="30"/>
          <w:szCs w:val="30"/>
          <w:highlight w:val="none"/>
        </w:rPr>
        <w:t>”</w:t>
      </w:r>
      <w:r>
        <w:rPr>
          <w:rFonts w:eastAsia="方正仿宋_GBK"/>
          <w:color w:val="auto"/>
          <w:sz w:val="30"/>
          <w:szCs w:val="30"/>
          <w:highlight w:val="none"/>
        </w:rPr>
        <w:t>，建设现代农业产业园和农产品加工产业园。</w:t>
      </w:r>
    </w:p>
    <w:p w14:paraId="4FE049BA">
      <w:pPr>
        <w:ind w:firstLine="600"/>
        <w:rPr>
          <w:rFonts w:eastAsia="方正仿宋_GBK"/>
          <w:color w:val="auto"/>
          <w:sz w:val="30"/>
          <w:szCs w:val="30"/>
          <w:highlight w:val="none"/>
        </w:rPr>
      </w:pPr>
      <w:r>
        <w:rPr>
          <w:rFonts w:ascii="方正楷体_GBK" w:eastAsia="方正楷体_GBK"/>
          <w:color w:val="auto"/>
          <w:sz w:val="30"/>
          <w:szCs w:val="30"/>
          <w:highlight w:val="none"/>
        </w:rPr>
        <w:t>集群打造。</w:t>
      </w:r>
      <w:r>
        <w:rPr>
          <w:rFonts w:eastAsia="方正仿宋_GBK"/>
          <w:color w:val="auto"/>
          <w:sz w:val="30"/>
          <w:szCs w:val="30"/>
          <w:highlight w:val="none"/>
        </w:rPr>
        <w:t>整合资源统筹力量，抱团发展，打造优质粳稻、生猪、蔬菜、花卉等产业集群，具体是：优质粳稻产业集群（以楚雄、禄丰、大姚、牟定海拔1450—1850米的区域为重点）；生猪产业集群（以禄丰、楚雄、武定、双柏海拔1200—1950米的区域为重点）；肉牛产业集群（以姚安、楚雄、大姚海拔1000—1950米的区域为重点）；肉羊产业集群（</w:t>
      </w:r>
      <w:r>
        <w:rPr>
          <w:rFonts w:hint="eastAsia" w:eastAsia="方正仿宋_GBK"/>
          <w:color w:val="auto"/>
          <w:sz w:val="30"/>
          <w:szCs w:val="30"/>
          <w:highlight w:val="none"/>
        </w:rPr>
        <w:t>以</w:t>
      </w:r>
      <w:r>
        <w:rPr>
          <w:rFonts w:eastAsia="方正仿宋_GBK"/>
          <w:color w:val="auto"/>
          <w:sz w:val="30"/>
          <w:szCs w:val="30"/>
          <w:highlight w:val="none"/>
        </w:rPr>
        <w:t>大姚、武定、楚雄、双柏海拔1000—2200米的区域为重点）；冬春蔬菜产业集群（以元谋、永仁、禄丰、双柏海拔1200米以下的区域为重点）；夏秋蔬菜产业集群（以武定、姚安、南华海拔2100—2700米的区域为重点）；魔芋产业集群（以楚雄、南华海拔1700—2100米的区域为重点）；花卉产业集群（以禄丰、楚雄、姚安海拔1650—1850米的区域为重点）；核桃产业集群（以大姚、楚雄、南华海拔1800—2200米的区域为重点）；中药材产业集群（以双柏、楚雄、武定、大姚海拔1800—2200米的区域为重点）；食用菌产业集群（以南华、楚雄、牟定海拔1500—2100米的区域为重点）；金沙江水果产业集群（以永仁、元谋、大姚为重点）；礼社江水果产业集群（以楚雄、禄丰、南华、双柏为重点）；种业产业集群（以元谋、永仁、楚雄为重点）；花椒产业集群（以大姚、南华、双柏海拔1400—1900米的区域为重点）。</w:t>
      </w:r>
    </w:p>
    <w:p w14:paraId="6A79424E">
      <w:pPr>
        <w:ind w:firstLine="600"/>
        <w:rPr>
          <w:rFonts w:eastAsia="方正仿宋_GBK"/>
          <w:color w:val="auto"/>
          <w:sz w:val="30"/>
          <w:szCs w:val="30"/>
          <w:highlight w:val="none"/>
        </w:rPr>
      </w:pPr>
      <w:r>
        <w:rPr>
          <w:rFonts w:ascii="方正楷体_GBK" w:eastAsia="方正楷体_GBK"/>
          <w:color w:val="auto"/>
          <w:sz w:val="30"/>
          <w:szCs w:val="30"/>
          <w:highlight w:val="none"/>
        </w:rPr>
        <w:t>融合发展。</w:t>
      </w:r>
      <w:r>
        <w:rPr>
          <w:rFonts w:eastAsia="方正仿宋_GBK"/>
          <w:color w:val="auto"/>
          <w:sz w:val="30"/>
          <w:szCs w:val="30"/>
          <w:highlight w:val="none"/>
        </w:rPr>
        <w:t>加快一二三产融合、各类主体共生、线上线下贯通，推动吃住行、游购娱、康体休一体发展，传统要素与新要素融合，跨行政区域融合，提升全产业链发展水平。</w:t>
      </w:r>
    </w:p>
    <w:p w14:paraId="48F18D17">
      <w:pPr>
        <w:ind w:firstLine="600"/>
        <w:rPr>
          <w:rFonts w:eastAsia="方正仿宋_GBK"/>
          <w:color w:val="auto"/>
          <w:sz w:val="30"/>
          <w:szCs w:val="30"/>
          <w:highlight w:val="none"/>
        </w:rPr>
      </w:pPr>
      <w:r>
        <w:rPr>
          <w:rFonts w:ascii="方正楷体_GBK" w:eastAsia="方正楷体_GBK"/>
          <w:color w:val="auto"/>
          <w:sz w:val="30"/>
          <w:szCs w:val="30"/>
          <w:highlight w:val="none"/>
        </w:rPr>
        <w:t>一县一业。</w:t>
      </w:r>
      <w:r>
        <w:rPr>
          <w:rFonts w:hint="eastAsia" w:eastAsia="方正仿宋_GBK"/>
          <w:color w:val="auto"/>
          <w:sz w:val="30"/>
          <w:szCs w:val="30"/>
          <w:highlight w:val="none"/>
        </w:rPr>
        <w:t>楚雄市突出优质粳米产业，</w:t>
      </w:r>
      <w:r>
        <w:rPr>
          <w:rFonts w:eastAsia="方正仿宋_GBK"/>
          <w:color w:val="auto"/>
          <w:sz w:val="30"/>
          <w:szCs w:val="30"/>
          <w:highlight w:val="none"/>
        </w:rPr>
        <w:t>双柏县中药材产业</w:t>
      </w:r>
      <w:r>
        <w:rPr>
          <w:rFonts w:hint="eastAsia" w:eastAsia="方正仿宋_GBK"/>
          <w:color w:val="auto"/>
          <w:sz w:val="30"/>
          <w:szCs w:val="30"/>
          <w:highlight w:val="none"/>
        </w:rPr>
        <w:t>，</w:t>
      </w:r>
      <w:r>
        <w:rPr>
          <w:rFonts w:eastAsia="方正仿宋_GBK"/>
          <w:color w:val="auto"/>
          <w:sz w:val="30"/>
          <w:szCs w:val="30"/>
          <w:highlight w:val="none"/>
        </w:rPr>
        <w:t>牟定县突出牟定腐乳绿色食品加工产业</w:t>
      </w:r>
      <w:r>
        <w:rPr>
          <w:rFonts w:hint="eastAsia" w:eastAsia="方正仿宋_GBK"/>
          <w:color w:val="auto"/>
          <w:sz w:val="30"/>
          <w:szCs w:val="30"/>
          <w:highlight w:val="none"/>
        </w:rPr>
        <w:t>，</w:t>
      </w:r>
      <w:r>
        <w:rPr>
          <w:rFonts w:eastAsia="方正仿宋_GBK"/>
          <w:color w:val="auto"/>
          <w:sz w:val="30"/>
          <w:szCs w:val="30"/>
          <w:highlight w:val="none"/>
        </w:rPr>
        <w:t>南华县突出野生菌产业</w:t>
      </w:r>
      <w:r>
        <w:rPr>
          <w:rFonts w:hint="eastAsia" w:eastAsia="方正仿宋_GBK"/>
          <w:color w:val="auto"/>
          <w:sz w:val="30"/>
          <w:szCs w:val="30"/>
          <w:highlight w:val="none"/>
        </w:rPr>
        <w:t>，</w:t>
      </w:r>
      <w:r>
        <w:rPr>
          <w:rFonts w:eastAsia="方正仿宋_GBK"/>
          <w:color w:val="auto"/>
          <w:sz w:val="30"/>
          <w:szCs w:val="30"/>
          <w:highlight w:val="none"/>
        </w:rPr>
        <w:t>姚安县突出花卉、肉牛养殖产业</w:t>
      </w:r>
      <w:r>
        <w:rPr>
          <w:rFonts w:hint="eastAsia" w:eastAsia="方正仿宋_GBK"/>
          <w:color w:val="auto"/>
          <w:sz w:val="30"/>
          <w:szCs w:val="30"/>
          <w:highlight w:val="none"/>
        </w:rPr>
        <w:t>，</w:t>
      </w:r>
      <w:r>
        <w:rPr>
          <w:rFonts w:eastAsia="方正仿宋_GBK"/>
          <w:color w:val="auto"/>
          <w:sz w:val="30"/>
          <w:szCs w:val="30"/>
          <w:highlight w:val="none"/>
        </w:rPr>
        <w:t>大姚县突出核桃、花椒等林果优势产业；永仁县突出特色水果产业</w:t>
      </w:r>
      <w:r>
        <w:rPr>
          <w:rFonts w:hint="eastAsia" w:eastAsia="方正仿宋_GBK"/>
          <w:color w:val="auto"/>
          <w:sz w:val="30"/>
          <w:szCs w:val="30"/>
          <w:highlight w:val="none"/>
        </w:rPr>
        <w:t>，元谋县突出冬早蔬菜和种业产业，</w:t>
      </w:r>
      <w:r>
        <w:rPr>
          <w:rFonts w:eastAsia="方正仿宋_GBK"/>
          <w:color w:val="auto"/>
          <w:sz w:val="30"/>
          <w:szCs w:val="30"/>
          <w:highlight w:val="none"/>
        </w:rPr>
        <w:t>武定县突出武定鸡产业</w:t>
      </w:r>
      <w:r>
        <w:rPr>
          <w:rFonts w:hint="eastAsia" w:eastAsia="方正仿宋_GBK"/>
          <w:color w:val="auto"/>
          <w:sz w:val="30"/>
          <w:szCs w:val="30"/>
          <w:highlight w:val="none"/>
        </w:rPr>
        <w:t>，</w:t>
      </w:r>
      <w:r>
        <w:rPr>
          <w:rFonts w:eastAsia="方正仿宋_GBK"/>
          <w:color w:val="auto"/>
          <w:sz w:val="30"/>
          <w:szCs w:val="30"/>
          <w:highlight w:val="none"/>
        </w:rPr>
        <w:t>禄丰市突</w:t>
      </w:r>
      <w:r>
        <w:rPr>
          <w:rFonts w:hint="eastAsia" w:eastAsia="方正仿宋_GBK"/>
          <w:color w:val="auto"/>
          <w:sz w:val="30"/>
          <w:szCs w:val="30"/>
          <w:highlight w:val="none"/>
        </w:rPr>
        <w:t>出</w:t>
      </w:r>
      <w:r>
        <w:rPr>
          <w:rFonts w:eastAsia="方正仿宋_GBK"/>
          <w:color w:val="auto"/>
          <w:sz w:val="30"/>
          <w:szCs w:val="30"/>
          <w:highlight w:val="none"/>
        </w:rPr>
        <w:t>花卉、生猪绿色养殖产业。</w:t>
      </w:r>
    </w:p>
    <w:p w14:paraId="75BE94A0">
      <w:pPr>
        <w:pStyle w:val="5"/>
        <w:rPr>
          <w:color w:val="auto"/>
          <w:highlight w:val="none"/>
        </w:rPr>
      </w:pPr>
      <w:bookmarkStart w:id="124" w:name="_Toc184639382"/>
      <w:bookmarkStart w:id="125" w:name="_Toc17284"/>
      <w:bookmarkStart w:id="126" w:name="_Toc131433330"/>
      <w:bookmarkStart w:id="127" w:name="_Toc131433164"/>
      <w:r>
        <w:rPr>
          <w:color w:val="auto"/>
          <w:highlight w:val="none"/>
        </w:rPr>
        <w:t>第三节 加强村庄规划引领，促进美丽乡村建设</w:t>
      </w:r>
      <w:bookmarkEnd w:id="124"/>
      <w:bookmarkEnd w:id="125"/>
      <w:bookmarkEnd w:id="126"/>
      <w:bookmarkEnd w:id="127"/>
    </w:p>
    <w:p w14:paraId="2B58C632">
      <w:pPr>
        <w:pStyle w:val="6"/>
        <w:rPr>
          <w:color w:val="auto"/>
          <w:highlight w:val="none"/>
        </w:rPr>
      </w:pPr>
      <w:r>
        <w:rPr>
          <w:color w:val="auto"/>
          <w:highlight w:val="none"/>
        </w:rPr>
        <w:t>一、加强村庄规划引领</w:t>
      </w:r>
    </w:p>
    <w:p w14:paraId="07B8409D">
      <w:pPr>
        <w:ind w:firstLine="600"/>
        <w:rPr>
          <w:rFonts w:eastAsia="方正仿宋_GBK"/>
          <w:color w:val="auto"/>
          <w:sz w:val="30"/>
          <w:szCs w:val="30"/>
          <w:highlight w:val="none"/>
        </w:rPr>
      </w:pPr>
      <w:r>
        <w:rPr>
          <w:rFonts w:eastAsia="方正仿宋_GBK"/>
          <w:color w:val="auto"/>
          <w:sz w:val="30"/>
          <w:szCs w:val="30"/>
          <w:highlight w:val="none"/>
        </w:rPr>
        <w:t>有序开展实用性村庄规划编制工作，逐步实现村庄规划管控全覆盖，把村庄规划作为</w:t>
      </w:r>
      <w:r>
        <w:rPr>
          <w:rFonts w:hint="eastAsia" w:eastAsia="方正仿宋_GBK"/>
          <w:color w:val="auto"/>
          <w:sz w:val="30"/>
          <w:szCs w:val="30"/>
          <w:highlight w:val="none"/>
        </w:rPr>
        <w:t>乡村地区</w:t>
      </w:r>
      <w:r>
        <w:rPr>
          <w:rFonts w:eastAsia="方正仿宋_GBK"/>
          <w:color w:val="auto"/>
          <w:sz w:val="30"/>
          <w:szCs w:val="30"/>
          <w:highlight w:val="none"/>
        </w:rPr>
        <w:t>开发保护活动、实施国土空间用途管制、核发乡村建设规划许可、进行各项建设等的法定依据。统筹村庄发展目标、生态保护修复、耕地和永久基本农田保护，划定并严守村庄建设边界。统筹产业发展、农村住房以及基础设施和基本公共服务设施布局、村庄安全和防灾减灾、历史文化传承与保护，推进美丽乡村建设。</w:t>
      </w:r>
    </w:p>
    <w:p w14:paraId="3261A339">
      <w:pPr>
        <w:pStyle w:val="6"/>
        <w:rPr>
          <w:color w:val="auto"/>
          <w:highlight w:val="none"/>
        </w:rPr>
      </w:pPr>
      <w:r>
        <w:rPr>
          <w:color w:val="auto"/>
          <w:highlight w:val="none"/>
        </w:rPr>
        <w:t>二、加强村庄建设用地管控，合理盘活存量用地</w:t>
      </w:r>
    </w:p>
    <w:p w14:paraId="66BF9806">
      <w:pPr>
        <w:ind w:firstLine="600"/>
        <w:rPr>
          <w:rFonts w:eastAsia="方正仿宋_GBK"/>
          <w:color w:val="auto"/>
          <w:sz w:val="30"/>
          <w:szCs w:val="30"/>
          <w:highlight w:val="none"/>
        </w:rPr>
      </w:pPr>
      <w:r>
        <w:rPr>
          <w:rFonts w:eastAsia="方正仿宋_GBK"/>
          <w:color w:val="auto"/>
          <w:sz w:val="30"/>
          <w:szCs w:val="30"/>
          <w:highlight w:val="none"/>
        </w:rPr>
        <w:t>围绕</w:t>
      </w:r>
      <w:r>
        <w:rPr>
          <w:rFonts w:hint="eastAsia" w:eastAsia="方正仿宋_GBK"/>
          <w:color w:val="auto"/>
          <w:sz w:val="30"/>
          <w:szCs w:val="30"/>
          <w:highlight w:val="none"/>
        </w:rPr>
        <w:t>“</w:t>
      </w:r>
      <w:r>
        <w:rPr>
          <w:rFonts w:eastAsia="方正仿宋_GBK"/>
          <w:color w:val="auto"/>
          <w:sz w:val="30"/>
          <w:szCs w:val="30"/>
          <w:highlight w:val="none"/>
        </w:rPr>
        <w:t>总量控制、增量递减、存量盘活、流量增效、有偿退出</w:t>
      </w:r>
      <w:r>
        <w:rPr>
          <w:rFonts w:hint="eastAsia" w:eastAsia="方正仿宋_GBK"/>
          <w:color w:val="auto"/>
          <w:sz w:val="30"/>
          <w:szCs w:val="30"/>
          <w:highlight w:val="none"/>
        </w:rPr>
        <w:t>”的</w:t>
      </w:r>
      <w:r>
        <w:rPr>
          <w:rFonts w:eastAsia="方正仿宋_GBK"/>
          <w:color w:val="auto"/>
          <w:sz w:val="30"/>
          <w:szCs w:val="30"/>
          <w:highlight w:val="none"/>
        </w:rPr>
        <w:t>基本原则，建立健全村庄建设用地管控体系。控制农村居民点用地总量，严格落实</w:t>
      </w:r>
      <w:r>
        <w:rPr>
          <w:rFonts w:hint="eastAsia" w:eastAsia="方正仿宋_GBK"/>
          <w:color w:val="auto"/>
          <w:sz w:val="30"/>
          <w:szCs w:val="30"/>
          <w:highlight w:val="none"/>
        </w:rPr>
        <w:t>“</w:t>
      </w:r>
      <w:r>
        <w:rPr>
          <w:rFonts w:eastAsia="方正仿宋_GBK"/>
          <w:color w:val="auto"/>
          <w:sz w:val="30"/>
          <w:szCs w:val="30"/>
          <w:highlight w:val="none"/>
        </w:rPr>
        <w:t>一户一宅</w:t>
      </w:r>
      <w:r>
        <w:rPr>
          <w:rFonts w:hint="eastAsia" w:eastAsia="方正仿宋_GBK"/>
          <w:color w:val="auto"/>
          <w:sz w:val="30"/>
          <w:szCs w:val="30"/>
          <w:highlight w:val="none"/>
        </w:rPr>
        <w:t>”</w:t>
      </w:r>
      <w:r>
        <w:rPr>
          <w:rFonts w:eastAsia="方正仿宋_GBK"/>
          <w:color w:val="auto"/>
          <w:sz w:val="30"/>
          <w:szCs w:val="30"/>
          <w:highlight w:val="none"/>
        </w:rPr>
        <w:t>制度，因地制宜制定并执行新增宅基地户均标准。盘活农村存量建设用地，腾挪空间用于支持农村产业融合发展和乡村振兴。探索闲置宅基地有偿退出方式途径，对符合用途并依法登记的集体经营性建设用地，可以采取出让、出租等方式依法入市，优先用于发展集体经济和乡村产业。建设用地指标向乡村发展合理倾斜，县域新增耕地指标优先用于折抵乡村产业发展所需建设用地指标。农村产业融合发展用地不得用于商品住宅、别墅、酒店、公寓等房地产开发，不得擅自改变用途或分割转让转租。</w:t>
      </w:r>
    </w:p>
    <w:p w14:paraId="5F38019C">
      <w:pPr>
        <w:ind w:firstLine="600"/>
        <w:rPr>
          <w:rFonts w:eastAsia="方正仿宋_GBK"/>
          <w:color w:val="auto"/>
          <w:sz w:val="30"/>
          <w:szCs w:val="30"/>
          <w:highlight w:val="none"/>
        </w:rPr>
      </w:pPr>
      <w:r>
        <w:rPr>
          <w:rFonts w:eastAsia="方正仿宋_GBK"/>
          <w:color w:val="auto"/>
          <w:sz w:val="30"/>
          <w:szCs w:val="30"/>
          <w:highlight w:val="none"/>
        </w:rPr>
        <w:t>农村宅基地面积应遵循节约集约用地的原则，不得占用永久基本农田。农村村民一户只能拥有一处宅基地，一户</w:t>
      </w:r>
      <w:r>
        <w:rPr>
          <w:rFonts w:hint="eastAsia" w:eastAsia="方正仿宋_GBK"/>
          <w:color w:val="auto"/>
          <w:sz w:val="30"/>
          <w:szCs w:val="30"/>
          <w:highlight w:val="none"/>
        </w:rPr>
        <w:t>宅基地面积</w:t>
      </w:r>
      <w:r>
        <w:rPr>
          <w:rFonts w:eastAsia="方正仿宋_GBK"/>
          <w:color w:val="auto"/>
          <w:sz w:val="30"/>
          <w:szCs w:val="30"/>
          <w:highlight w:val="none"/>
        </w:rPr>
        <w:t>不得超过150平方米。</w:t>
      </w:r>
    </w:p>
    <w:p w14:paraId="02A298F0">
      <w:pPr>
        <w:pStyle w:val="6"/>
        <w:rPr>
          <w:color w:val="auto"/>
          <w:highlight w:val="none"/>
        </w:rPr>
      </w:pPr>
      <w:r>
        <w:rPr>
          <w:color w:val="auto"/>
          <w:highlight w:val="none"/>
        </w:rPr>
        <w:t>三、构建完整乡村生活圈</w:t>
      </w:r>
    </w:p>
    <w:p w14:paraId="32D1EBCE">
      <w:pPr>
        <w:ind w:firstLine="600"/>
        <w:rPr>
          <w:color w:val="auto"/>
          <w:sz w:val="30"/>
          <w:szCs w:val="30"/>
          <w:highlight w:val="none"/>
        </w:rPr>
      </w:pPr>
      <w:r>
        <w:rPr>
          <w:rFonts w:eastAsia="方正仿宋_GBK"/>
          <w:color w:val="auto"/>
          <w:sz w:val="30"/>
          <w:szCs w:val="30"/>
          <w:highlight w:val="none"/>
        </w:rPr>
        <w:t>构建系统化、网络化的乡村生活圈，统筹布局乡村基础设施、公益事业设施和公共设施，促进设施共建共享，健全城乡一体、全民覆盖、均衡发展、普惠共享的基本公共服务体系。以建设绿色生态宜居的农村人居环境为工作重点，围绕村庄居民点布局提升教育、医疗、文化体育等公共服务功能，综合整治农村水体污染，治理农村垃圾和污水，推广卫生厕所，完善道路、供电、供水、通讯、防灾安全等公用基础配套设施。</w:t>
      </w:r>
    </w:p>
    <w:p w14:paraId="3A5015A8">
      <w:pPr>
        <w:pStyle w:val="6"/>
        <w:rPr>
          <w:color w:val="auto"/>
          <w:highlight w:val="none"/>
        </w:rPr>
      </w:pPr>
      <w:r>
        <w:rPr>
          <w:color w:val="auto"/>
          <w:highlight w:val="none"/>
        </w:rPr>
        <w:t>四、描绘田园诗画的乡村景观环境</w:t>
      </w:r>
    </w:p>
    <w:p w14:paraId="2D5B9404">
      <w:pPr>
        <w:ind w:firstLine="600"/>
        <w:rPr>
          <w:color w:val="auto"/>
          <w:sz w:val="30"/>
          <w:szCs w:val="30"/>
          <w:highlight w:val="none"/>
        </w:rPr>
      </w:pPr>
      <w:r>
        <w:rPr>
          <w:rFonts w:eastAsia="方正仿宋_GBK"/>
          <w:color w:val="auto"/>
          <w:sz w:val="30"/>
          <w:szCs w:val="30"/>
          <w:highlight w:val="none"/>
        </w:rPr>
        <w:t>塑造特色田园大地景观，改善河湖溪塘水体景观，保护绿色生态自然景观，构建蓝绿渗透、田园融合的乡村山水田园画卷。塑造协调统一的村庄风貌，尊重原有村寨肌理格局，延续历史文脉，挖掘和彰显乡村文化符号、建筑特色，保护古村落、古建筑及传统特色民居，管控新建建筑风格。营造村庄开敞空间独特魅力，有机融合地域特色、历史文化、民族风情，打造具有吸引力、亲和力的公共开敞空间。</w:t>
      </w:r>
    </w:p>
    <w:p w14:paraId="2D4A29F5">
      <w:pPr>
        <w:pStyle w:val="5"/>
        <w:rPr>
          <w:color w:val="auto"/>
          <w:highlight w:val="none"/>
        </w:rPr>
      </w:pPr>
      <w:bookmarkStart w:id="128" w:name="_Toc131433165"/>
      <w:bookmarkStart w:id="129" w:name="_Toc184639383"/>
      <w:bookmarkStart w:id="130" w:name="_Toc129"/>
      <w:bookmarkStart w:id="131" w:name="_Toc131433331"/>
      <w:r>
        <w:rPr>
          <w:color w:val="auto"/>
          <w:highlight w:val="none"/>
        </w:rPr>
        <w:t>第四节 开展农业空间综合整治</w:t>
      </w:r>
      <w:bookmarkEnd w:id="128"/>
      <w:bookmarkEnd w:id="129"/>
      <w:bookmarkEnd w:id="130"/>
      <w:bookmarkEnd w:id="131"/>
    </w:p>
    <w:p w14:paraId="113860F1">
      <w:pPr>
        <w:pStyle w:val="6"/>
        <w:rPr>
          <w:color w:val="auto"/>
          <w:highlight w:val="none"/>
        </w:rPr>
      </w:pPr>
      <w:r>
        <w:rPr>
          <w:color w:val="auto"/>
          <w:highlight w:val="none"/>
        </w:rPr>
        <w:t>一、大力开展农用地整治</w:t>
      </w:r>
    </w:p>
    <w:p w14:paraId="3AEBB539">
      <w:pPr>
        <w:ind w:firstLine="600"/>
        <w:rPr>
          <w:color w:val="auto"/>
          <w:sz w:val="30"/>
          <w:szCs w:val="30"/>
          <w:highlight w:val="none"/>
        </w:rPr>
      </w:pPr>
      <w:r>
        <w:rPr>
          <w:rFonts w:eastAsia="方正仿宋_GBK"/>
          <w:color w:val="auto"/>
          <w:sz w:val="30"/>
          <w:szCs w:val="30"/>
          <w:highlight w:val="none"/>
        </w:rPr>
        <w:t>统筹农用地整理、农村人居环境提升、盘活低效用地等，开展农村土地综合整治工程，促进耕地绿色生产、生态产品供给、农民居住的协调发展，优化乡村人居环境，提出农用地污染治理、农用地综合整治、低效农村建设用地整治、土地复垦、宜耕后备土地资源开发、提质改造等综合整治目标、重点区域和重大工程。</w:t>
      </w:r>
    </w:p>
    <w:p w14:paraId="7F9423F8">
      <w:pPr>
        <w:pStyle w:val="6"/>
        <w:rPr>
          <w:color w:val="auto"/>
          <w:highlight w:val="none"/>
        </w:rPr>
      </w:pPr>
      <w:r>
        <w:rPr>
          <w:color w:val="auto"/>
          <w:highlight w:val="none"/>
        </w:rPr>
        <w:t>二、加强高标准农田建设</w:t>
      </w:r>
    </w:p>
    <w:p w14:paraId="7134E03F">
      <w:pPr>
        <w:ind w:firstLine="600"/>
        <w:rPr>
          <w:rFonts w:eastAsia="方正仿宋_GBK"/>
          <w:color w:val="auto"/>
          <w:sz w:val="30"/>
          <w:szCs w:val="30"/>
          <w:highlight w:val="none"/>
        </w:rPr>
      </w:pPr>
      <w:r>
        <w:rPr>
          <w:rFonts w:eastAsia="方正仿宋_GBK"/>
          <w:color w:val="auto"/>
          <w:sz w:val="30"/>
          <w:szCs w:val="30"/>
          <w:highlight w:val="none"/>
        </w:rPr>
        <w:t>提高耕地、园地集中连片程度，积极推进水利、道路等农业基础设施建设，</w:t>
      </w:r>
      <w:r>
        <w:rPr>
          <w:rFonts w:hint="eastAsia" w:eastAsia="方正仿宋_GBK"/>
          <w:color w:val="auto"/>
          <w:sz w:val="30"/>
          <w:szCs w:val="30"/>
          <w:highlight w:val="none"/>
        </w:rPr>
        <w:t>开展耕地提质改造、土地平整工程、农田水利工程、田间道路工程和农田防护工程，以姚安和元谋等重要粮食主产区和牟定、南华、武定、禄丰等</w:t>
      </w:r>
      <w:r>
        <w:rPr>
          <w:rFonts w:eastAsia="方正仿宋_GBK"/>
          <w:color w:val="auto"/>
          <w:sz w:val="30"/>
          <w:szCs w:val="30"/>
          <w:highlight w:val="none"/>
        </w:rPr>
        <w:t>资源丰富、光热条件良好区域为重点，加强旱改水、坡改梯力度，大力建设高产稳产农田，有效提高全州耕地质量和粮食产能。至2035年，逐步把永久基本农田建成高标准农田，不断夯实粮食安全保障基础。</w:t>
      </w:r>
    </w:p>
    <w:p w14:paraId="148BB42B">
      <w:pPr>
        <w:pStyle w:val="6"/>
        <w:rPr>
          <w:color w:val="auto"/>
          <w:highlight w:val="none"/>
        </w:rPr>
      </w:pPr>
      <w:r>
        <w:rPr>
          <w:color w:val="auto"/>
          <w:highlight w:val="none"/>
        </w:rPr>
        <w:t>三、做好宜耕后备土地资源开发</w:t>
      </w:r>
    </w:p>
    <w:p w14:paraId="4E8BA305">
      <w:pPr>
        <w:ind w:firstLine="600"/>
        <w:rPr>
          <w:rFonts w:eastAsia="方正仿宋_GBK"/>
          <w:color w:val="auto"/>
          <w:sz w:val="30"/>
          <w:szCs w:val="30"/>
          <w:highlight w:val="none"/>
        </w:rPr>
      </w:pPr>
      <w:r>
        <w:rPr>
          <w:rFonts w:eastAsia="方正仿宋_GBK"/>
          <w:color w:val="auto"/>
          <w:sz w:val="30"/>
          <w:szCs w:val="30"/>
          <w:highlight w:val="none"/>
        </w:rPr>
        <w:t>宜耕后备土地资源开发是维持耕地资源总量、保障国家粮食安全的重要手段。将25°以下适宜开发的荒山荒地、裸地、低效园地等作为补充耕地的后备资源。耕地后备资源开发应与农业人口分布相适应，避免撂荒；鼓励结合高标准农田建设，旱改水、坡改梯工程建设，以大批量、小规模的方式补充耕地，满足规划期内耕地占补平衡与进出平衡的需求。至2035</w:t>
      </w:r>
      <w:r>
        <w:rPr>
          <w:rFonts w:hint="eastAsia" w:eastAsia="方正仿宋_GBK"/>
          <w:color w:val="auto"/>
          <w:sz w:val="30"/>
          <w:szCs w:val="30"/>
          <w:highlight w:val="none"/>
        </w:rPr>
        <w:t>年，按照“耕地下山、林果上山”的空间置换思路，楚雄州共划定耕地后备资源补充空间</w:t>
      </w:r>
      <w:r>
        <w:rPr>
          <w:rFonts w:eastAsia="方正仿宋_GBK"/>
          <w:color w:val="auto"/>
          <w:sz w:val="30"/>
          <w:szCs w:val="30"/>
          <w:highlight w:val="none"/>
        </w:rPr>
        <w:t>89.72</w:t>
      </w:r>
      <w:r>
        <w:rPr>
          <w:rFonts w:hint="eastAsia" w:eastAsia="方正仿宋_GBK"/>
          <w:color w:val="auto"/>
          <w:sz w:val="30"/>
          <w:szCs w:val="30"/>
          <w:highlight w:val="none"/>
        </w:rPr>
        <w:t>36万亩，主要位于永仁大型灌区、元谋大型灌区、蜻蛉河灌区、绿汁江大型灌区以及10县（市）坝区周边，进一步提升耕地集中连片程度。</w:t>
      </w:r>
    </w:p>
    <w:p w14:paraId="5DF9E901">
      <w:pPr>
        <w:pStyle w:val="6"/>
        <w:rPr>
          <w:color w:val="auto"/>
          <w:highlight w:val="none"/>
        </w:rPr>
      </w:pPr>
      <w:r>
        <w:rPr>
          <w:color w:val="auto"/>
          <w:highlight w:val="none"/>
        </w:rPr>
        <w:t>四、推进村庄建设用地整治</w:t>
      </w:r>
    </w:p>
    <w:p w14:paraId="576CC4AC">
      <w:pPr>
        <w:ind w:firstLine="600"/>
        <w:rPr>
          <w:color w:val="auto"/>
          <w:highlight w:val="none"/>
        </w:rPr>
      </w:pPr>
      <w:r>
        <w:rPr>
          <w:rFonts w:hint="eastAsia" w:eastAsia="方正仿宋_GBK"/>
          <w:color w:val="auto"/>
          <w:sz w:val="30"/>
          <w:szCs w:val="30"/>
          <w:highlight w:val="none"/>
        </w:rPr>
        <w:t>有序开展一户多宅以及其他低效闲置建设用地整理，重点推进空心村整治，加强重要生态功能区村庄搬迁整治，整体实施乡村生态保护修复，结合农村人居环境整治，优化调整生态用地布局，保护和恢复乡村生态功能。农村居民点拆迁实行分批实施、滚动投入、逐步扩大规模的方式，对村庄内搬迁安置老宅基地、闲置宅基地、一户多宅等进行存量用地挖潜以及综合整治。重点开展五江七河干流、支流及小江小河沿岸、大中型水库周边村庄等水网示范带）、交通主干道示范带（杭瑞、新昆楚大、京昆、禄武、武易、玉楚、楚姚等高速公路楚雄段，元双、楚南、320国道等公路沿线示范带）、传统村落、历史文化名村、特色旅游村、楚雄市紫溪山生态宜居美丽乡村示范区、禄丰市恐龙山示范区、南华县凤山湖田园风光示范区、牟定县全域旅游乡村示范区、元谋县全域乡村振兴示范区、姚安县蜻蛉河沿线示范区、大姚县蜻蛉生态廊道示范区、永仁县十里画廊示范区、武定县京昆高速沿线示范区、双柏县玉楚高速公路沿线示范区等区域的村庄建设用地整治以及人居环境整治提升</w:t>
      </w:r>
      <w:r>
        <w:rPr>
          <w:rFonts w:eastAsia="方正仿宋_GBK"/>
          <w:color w:val="auto"/>
          <w:sz w:val="30"/>
          <w:szCs w:val="30"/>
          <w:highlight w:val="none"/>
        </w:rPr>
        <w:t>。</w:t>
      </w:r>
    </w:p>
    <w:p w14:paraId="31B42CB7">
      <w:pPr>
        <w:pStyle w:val="4"/>
        <w:rPr>
          <w:color w:val="auto"/>
          <w:highlight w:val="none"/>
        </w:rPr>
        <w:sectPr>
          <w:pgSz w:w="11906" w:h="16838"/>
          <w:pgMar w:top="2041" w:right="1644" w:bottom="1871" w:left="1644" w:header="851" w:footer="992" w:gutter="0"/>
          <w:cols w:space="425" w:num="1"/>
          <w:docGrid w:type="linesAndChars" w:linePitch="312" w:charSpace="0"/>
        </w:sectPr>
      </w:pPr>
      <w:bookmarkStart w:id="132" w:name="_Toc73380365"/>
    </w:p>
    <w:p w14:paraId="616B60C7">
      <w:pPr>
        <w:pStyle w:val="63"/>
        <w:rPr>
          <w:color w:val="auto"/>
          <w:highlight w:val="none"/>
        </w:rPr>
      </w:pPr>
      <w:bookmarkStart w:id="133" w:name="_Toc18315"/>
      <w:bookmarkStart w:id="134" w:name="_Toc131433166"/>
      <w:bookmarkStart w:id="135" w:name="_Toc131433332"/>
      <w:bookmarkStart w:id="136" w:name="_Toc184639384"/>
      <w:r>
        <w:rPr>
          <w:color w:val="auto"/>
          <w:highlight w:val="none"/>
        </w:rPr>
        <w:t>第</w:t>
      </w:r>
      <w:r>
        <w:rPr>
          <w:rFonts w:hint="eastAsia"/>
          <w:color w:val="auto"/>
          <w:highlight w:val="none"/>
        </w:rPr>
        <w:t>五</w:t>
      </w:r>
      <w:r>
        <w:rPr>
          <w:color w:val="auto"/>
          <w:highlight w:val="none"/>
        </w:rPr>
        <w:t>章 提升生态系统质量，筑牢生态安全屏障</w:t>
      </w:r>
      <w:bookmarkEnd w:id="132"/>
      <w:bookmarkEnd w:id="133"/>
      <w:bookmarkEnd w:id="134"/>
      <w:bookmarkEnd w:id="135"/>
      <w:bookmarkEnd w:id="136"/>
    </w:p>
    <w:p w14:paraId="6F6CAAC7">
      <w:pPr>
        <w:pStyle w:val="5"/>
        <w:rPr>
          <w:rFonts w:eastAsia="方正黑体简体"/>
          <w:color w:val="auto"/>
          <w:highlight w:val="none"/>
        </w:rPr>
      </w:pPr>
      <w:bookmarkStart w:id="137" w:name="_Toc131433333"/>
      <w:bookmarkStart w:id="138" w:name="_Toc30172"/>
      <w:bookmarkStart w:id="139" w:name="_Toc131433167"/>
      <w:bookmarkStart w:id="140" w:name="_Toc184639385"/>
      <w:r>
        <w:rPr>
          <w:color w:val="auto"/>
          <w:highlight w:val="none"/>
        </w:rPr>
        <w:t>第一节</w:t>
      </w:r>
      <w:r>
        <w:rPr>
          <w:rFonts w:eastAsia="方正黑体简体"/>
          <w:color w:val="auto"/>
          <w:highlight w:val="none"/>
        </w:rPr>
        <w:t xml:space="preserve"> </w:t>
      </w:r>
      <w:r>
        <w:rPr>
          <w:color w:val="auto"/>
          <w:highlight w:val="none"/>
        </w:rPr>
        <w:t>建立</w:t>
      </w:r>
      <w:r>
        <w:rPr>
          <w:rFonts w:hint="eastAsia"/>
          <w:color w:val="auto"/>
          <w:highlight w:val="none"/>
        </w:rPr>
        <w:t>以国家公园为主体的</w:t>
      </w:r>
      <w:r>
        <w:rPr>
          <w:color w:val="auto"/>
          <w:highlight w:val="none"/>
        </w:rPr>
        <w:t>自然保护地体系</w:t>
      </w:r>
      <w:bookmarkEnd w:id="137"/>
      <w:bookmarkEnd w:id="138"/>
      <w:bookmarkEnd w:id="139"/>
      <w:bookmarkEnd w:id="140"/>
    </w:p>
    <w:p w14:paraId="36E08822">
      <w:pPr>
        <w:pStyle w:val="6"/>
        <w:rPr>
          <w:color w:val="auto"/>
          <w:highlight w:val="none"/>
        </w:rPr>
      </w:pPr>
      <w:r>
        <w:rPr>
          <w:color w:val="auto"/>
          <w:highlight w:val="none"/>
        </w:rPr>
        <w:t>一、</w:t>
      </w:r>
      <w:r>
        <w:rPr>
          <w:rFonts w:hint="eastAsia"/>
          <w:color w:val="auto"/>
          <w:highlight w:val="none"/>
        </w:rPr>
        <w:t>建立自然保护地体系</w:t>
      </w:r>
    </w:p>
    <w:p w14:paraId="5ED3534C">
      <w:pPr>
        <w:ind w:firstLine="600"/>
        <w:rPr>
          <w:rFonts w:eastAsia="方正仿宋_GBK"/>
          <w:color w:val="auto"/>
          <w:sz w:val="30"/>
          <w:szCs w:val="30"/>
          <w:highlight w:val="none"/>
        </w:rPr>
      </w:pPr>
      <w:r>
        <w:rPr>
          <w:rFonts w:eastAsia="方正仿宋_GBK"/>
          <w:color w:val="auto"/>
          <w:sz w:val="30"/>
          <w:szCs w:val="30"/>
          <w:highlight w:val="none"/>
        </w:rPr>
        <w:t>按照山水林田湖草</w:t>
      </w:r>
      <w:r>
        <w:rPr>
          <w:rFonts w:hint="eastAsia" w:eastAsia="方正仿宋_GBK"/>
          <w:color w:val="auto"/>
          <w:sz w:val="30"/>
          <w:szCs w:val="30"/>
          <w:highlight w:val="none"/>
        </w:rPr>
        <w:t>沙</w:t>
      </w:r>
      <w:r>
        <w:rPr>
          <w:rFonts w:eastAsia="方正仿宋_GBK"/>
          <w:color w:val="auto"/>
          <w:sz w:val="30"/>
          <w:szCs w:val="30"/>
          <w:highlight w:val="none"/>
        </w:rPr>
        <w:t>生命共同体理念，</w:t>
      </w:r>
      <w:r>
        <w:rPr>
          <w:rFonts w:hint="default" w:eastAsia="方正仿宋_GBK"/>
          <w:color w:val="auto"/>
          <w:sz w:val="30"/>
          <w:szCs w:val="30"/>
          <w:highlight w:val="none"/>
          <w:u w:val="none"/>
        </w:rPr>
        <w:t>构建</w:t>
      </w:r>
      <w:r>
        <w:rPr>
          <w:rFonts w:eastAsia="方正仿宋_GBK"/>
          <w:color w:val="auto"/>
          <w:sz w:val="30"/>
          <w:szCs w:val="30"/>
          <w:highlight w:val="none"/>
          <w:u w:val="none"/>
        </w:rPr>
        <w:t>以国家公园为主体、</w:t>
      </w:r>
      <w:r>
        <w:rPr>
          <w:rFonts w:hint="default" w:eastAsia="方正仿宋_GBK"/>
          <w:color w:val="auto"/>
          <w:sz w:val="30"/>
          <w:szCs w:val="30"/>
          <w:highlight w:val="none"/>
          <w:u w:val="none"/>
        </w:rPr>
        <w:t>7个</w:t>
      </w:r>
      <w:r>
        <w:rPr>
          <w:rFonts w:eastAsia="方正仿宋_GBK"/>
          <w:color w:val="auto"/>
          <w:sz w:val="30"/>
          <w:szCs w:val="30"/>
          <w:highlight w:val="none"/>
          <w:u w:val="none"/>
        </w:rPr>
        <w:t>自然保护区为基础、</w:t>
      </w:r>
      <w:r>
        <w:rPr>
          <w:rFonts w:hint="default" w:eastAsia="方正仿宋_GBK"/>
          <w:color w:val="auto"/>
          <w:sz w:val="30"/>
          <w:szCs w:val="30"/>
          <w:highlight w:val="none"/>
          <w:u w:val="none"/>
        </w:rPr>
        <w:t>1</w:t>
      </w:r>
      <w:r>
        <w:rPr>
          <w:rFonts w:eastAsia="方正仿宋_GBK"/>
          <w:color w:val="auto"/>
          <w:sz w:val="30"/>
          <w:szCs w:val="30"/>
          <w:highlight w:val="none"/>
          <w:u w:val="none"/>
        </w:rPr>
        <w:t>4</w:t>
      </w:r>
      <w:r>
        <w:rPr>
          <w:rFonts w:hint="default" w:eastAsia="方正仿宋_GBK"/>
          <w:color w:val="auto"/>
          <w:sz w:val="30"/>
          <w:szCs w:val="30"/>
          <w:highlight w:val="none"/>
          <w:u w:val="none"/>
        </w:rPr>
        <w:t>个</w:t>
      </w:r>
      <w:r>
        <w:rPr>
          <w:rFonts w:eastAsia="方正仿宋_GBK"/>
          <w:color w:val="auto"/>
          <w:sz w:val="30"/>
          <w:szCs w:val="30"/>
          <w:highlight w:val="none"/>
          <w:u w:val="none"/>
        </w:rPr>
        <w:t>自然公园为补充的自然保护地</w:t>
      </w:r>
      <w:r>
        <w:rPr>
          <w:rFonts w:hint="default" w:eastAsia="方正仿宋_GBK"/>
          <w:color w:val="auto"/>
          <w:sz w:val="30"/>
          <w:szCs w:val="30"/>
          <w:highlight w:val="none"/>
          <w:u w:val="none"/>
        </w:rPr>
        <w:t>体系</w:t>
      </w:r>
      <w:r>
        <w:rPr>
          <w:rFonts w:eastAsia="方正仿宋_GBK"/>
          <w:color w:val="auto"/>
          <w:sz w:val="30"/>
          <w:szCs w:val="30"/>
          <w:highlight w:val="none"/>
          <w:u w:val="none"/>
        </w:rPr>
        <w:t>。</w:t>
      </w:r>
      <w:r>
        <w:rPr>
          <w:rFonts w:eastAsia="方正仿宋_GBK"/>
          <w:color w:val="auto"/>
          <w:sz w:val="30"/>
          <w:szCs w:val="30"/>
          <w:highlight w:val="none"/>
        </w:rPr>
        <w:t>制定自然保护地分类、分级、分区管控要求，对不同类型、不同级别、不同分区的自然保护地实行差别化管控。加强自然保护地建设管理</w:t>
      </w:r>
      <w:r>
        <w:rPr>
          <w:rFonts w:hint="eastAsia" w:eastAsia="方正仿宋_GBK"/>
          <w:color w:val="auto"/>
          <w:sz w:val="30"/>
          <w:szCs w:val="30"/>
          <w:highlight w:val="none"/>
        </w:rPr>
        <w:t>，</w:t>
      </w:r>
      <w:r>
        <w:rPr>
          <w:rFonts w:eastAsia="方正仿宋_GBK"/>
          <w:color w:val="auto"/>
          <w:sz w:val="30"/>
          <w:szCs w:val="30"/>
          <w:highlight w:val="none"/>
        </w:rPr>
        <w:t>以自然恢复为主，辅以必要的人工措施，分区分类开展受损自然生态系统修复，建立生态廊道、开展重要栖息地恢复和废弃地修复。</w:t>
      </w:r>
    </w:p>
    <w:p w14:paraId="6C2F675E">
      <w:pPr>
        <w:pStyle w:val="6"/>
        <w:rPr>
          <w:color w:val="auto"/>
          <w:highlight w:val="none"/>
        </w:rPr>
      </w:pPr>
      <w:r>
        <w:rPr>
          <w:color w:val="auto"/>
          <w:highlight w:val="none"/>
        </w:rPr>
        <w:t>二、</w:t>
      </w:r>
      <w:r>
        <w:rPr>
          <w:rFonts w:hint="eastAsia"/>
          <w:color w:val="auto"/>
          <w:highlight w:val="none"/>
        </w:rPr>
        <w:t>共创</w:t>
      </w:r>
      <w:r>
        <w:rPr>
          <w:color w:val="auto"/>
          <w:highlight w:val="none"/>
        </w:rPr>
        <w:t>哀牢山国家公园</w:t>
      </w:r>
    </w:p>
    <w:p w14:paraId="719D7C67">
      <w:pPr>
        <w:ind w:firstLine="600"/>
        <w:rPr>
          <w:rFonts w:eastAsia="方正仿宋_GBK"/>
          <w:color w:val="auto"/>
          <w:sz w:val="30"/>
          <w:szCs w:val="30"/>
          <w:highlight w:val="none"/>
        </w:rPr>
      </w:pPr>
      <w:r>
        <w:rPr>
          <w:rFonts w:eastAsia="方正仿宋_GBK"/>
          <w:color w:val="auto"/>
          <w:sz w:val="30"/>
          <w:szCs w:val="30"/>
          <w:highlight w:val="none"/>
        </w:rPr>
        <w:t>将哀牢山生物多样性最丰富、地域景观最独特、自然生态系统最完整的区域创建为国家公园，发挥</w:t>
      </w:r>
      <w:r>
        <w:rPr>
          <w:rFonts w:hint="eastAsia" w:eastAsia="方正仿宋_GBK"/>
          <w:color w:val="auto"/>
          <w:sz w:val="30"/>
          <w:szCs w:val="30"/>
          <w:highlight w:val="none"/>
        </w:rPr>
        <w:t>哀牢山国家公园楚雄部分</w:t>
      </w:r>
      <w:r>
        <w:rPr>
          <w:rFonts w:eastAsia="方正仿宋_GBK"/>
          <w:color w:val="auto"/>
          <w:sz w:val="30"/>
          <w:szCs w:val="30"/>
          <w:highlight w:val="none"/>
        </w:rPr>
        <w:t>在保护生物多样性、维护自然生态系统健康稳定、促进人与自然和谐共生的作用。</w:t>
      </w:r>
    </w:p>
    <w:p w14:paraId="41BA73FA">
      <w:pPr>
        <w:pStyle w:val="6"/>
        <w:rPr>
          <w:color w:val="auto"/>
          <w:highlight w:val="none"/>
        </w:rPr>
      </w:pPr>
      <w:r>
        <w:rPr>
          <w:color w:val="auto"/>
          <w:highlight w:val="none"/>
        </w:rPr>
        <w:t>三、</w:t>
      </w:r>
      <w:r>
        <w:rPr>
          <w:rFonts w:hint="eastAsia"/>
          <w:color w:val="auto"/>
          <w:highlight w:val="none"/>
        </w:rPr>
        <w:t>建设</w:t>
      </w:r>
      <w:r>
        <w:rPr>
          <w:color w:val="auto"/>
          <w:highlight w:val="none"/>
        </w:rPr>
        <w:t>自然保护区</w:t>
      </w:r>
    </w:p>
    <w:p w14:paraId="290021B4">
      <w:pPr>
        <w:ind w:firstLine="600"/>
        <w:rPr>
          <w:rFonts w:eastAsia="方正仿宋_GBK"/>
          <w:color w:val="auto"/>
          <w:sz w:val="30"/>
          <w:szCs w:val="30"/>
          <w:highlight w:val="none"/>
        </w:rPr>
      </w:pPr>
      <w:r>
        <w:rPr>
          <w:rFonts w:hint="eastAsia" w:eastAsia="方正仿宋_GBK"/>
          <w:color w:val="auto"/>
          <w:sz w:val="30"/>
          <w:szCs w:val="30"/>
          <w:highlight w:val="none"/>
        </w:rPr>
        <w:t>建设自然保护区7个（国家级1个、地方级6个），规模为1274.20平方千米，维持和恢复珍稀濒危野生动植物种群数量及赖以生存的栖息环境</w:t>
      </w:r>
      <w:r>
        <w:rPr>
          <w:rFonts w:eastAsia="方正仿宋_GBK"/>
          <w:color w:val="auto"/>
          <w:sz w:val="30"/>
          <w:szCs w:val="30"/>
          <w:highlight w:val="none"/>
        </w:rPr>
        <w:t>。</w:t>
      </w:r>
    </w:p>
    <w:p w14:paraId="0519AEBE">
      <w:pPr>
        <w:pStyle w:val="6"/>
        <w:rPr>
          <w:color w:val="auto"/>
          <w:highlight w:val="none"/>
        </w:rPr>
      </w:pPr>
      <w:r>
        <w:rPr>
          <w:color w:val="auto"/>
          <w:highlight w:val="none"/>
        </w:rPr>
        <w:t>四、</w:t>
      </w:r>
      <w:r>
        <w:rPr>
          <w:rFonts w:hint="eastAsia"/>
          <w:color w:val="auto"/>
          <w:highlight w:val="none"/>
        </w:rPr>
        <w:t>建设自然公园</w:t>
      </w:r>
    </w:p>
    <w:p w14:paraId="455152EA">
      <w:pPr>
        <w:ind w:firstLine="600"/>
        <w:rPr>
          <w:color w:val="auto"/>
          <w:sz w:val="30"/>
          <w:szCs w:val="30"/>
          <w:highlight w:val="none"/>
        </w:rPr>
      </w:pPr>
      <w:r>
        <w:rPr>
          <w:rFonts w:eastAsia="方正仿宋_GBK"/>
          <w:color w:val="auto"/>
          <w:sz w:val="30"/>
          <w:szCs w:val="30"/>
          <w:highlight w:val="none"/>
        </w:rPr>
        <w:t>建设</w:t>
      </w:r>
      <w:r>
        <w:rPr>
          <w:rFonts w:hint="eastAsia" w:eastAsia="方正仿宋_GBK"/>
          <w:color w:val="auto"/>
          <w:sz w:val="30"/>
          <w:szCs w:val="30"/>
          <w:highlight w:val="none"/>
        </w:rPr>
        <w:t>森林公园5</w:t>
      </w:r>
      <w:r>
        <w:rPr>
          <w:rFonts w:eastAsia="方正仿宋_GBK"/>
          <w:color w:val="auto"/>
          <w:sz w:val="30"/>
          <w:szCs w:val="30"/>
          <w:highlight w:val="none"/>
        </w:rPr>
        <w:t>个（国家级</w:t>
      </w:r>
      <w:r>
        <w:rPr>
          <w:rFonts w:hint="eastAsia" w:eastAsia="方正仿宋_GBK"/>
          <w:color w:val="auto"/>
          <w:sz w:val="30"/>
          <w:szCs w:val="30"/>
          <w:highlight w:val="none"/>
        </w:rPr>
        <w:t>1</w:t>
      </w:r>
      <w:r>
        <w:rPr>
          <w:rFonts w:eastAsia="方正仿宋_GBK"/>
          <w:color w:val="auto"/>
          <w:sz w:val="30"/>
          <w:szCs w:val="30"/>
          <w:highlight w:val="none"/>
        </w:rPr>
        <w:t>个</w:t>
      </w:r>
      <w:r>
        <w:rPr>
          <w:rFonts w:hint="eastAsia" w:eastAsia="方正仿宋_GBK"/>
          <w:color w:val="auto"/>
          <w:sz w:val="30"/>
          <w:szCs w:val="30"/>
          <w:highlight w:val="none"/>
        </w:rPr>
        <w:t>、地方级4</w:t>
      </w:r>
      <w:r>
        <w:rPr>
          <w:rFonts w:eastAsia="方正仿宋_GBK"/>
          <w:color w:val="auto"/>
          <w:sz w:val="30"/>
          <w:szCs w:val="30"/>
          <w:highlight w:val="none"/>
        </w:rPr>
        <w:t>个），规模为</w:t>
      </w:r>
      <w:r>
        <w:rPr>
          <w:rFonts w:hint="eastAsia" w:eastAsia="方正仿宋_GBK"/>
          <w:color w:val="auto"/>
          <w:sz w:val="30"/>
          <w:szCs w:val="30"/>
          <w:highlight w:val="none"/>
        </w:rPr>
        <w:t>563.41</w:t>
      </w:r>
      <w:r>
        <w:rPr>
          <w:rFonts w:eastAsia="方正仿宋_GBK"/>
          <w:color w:val="auto"/>
          <w:sz w:val="30"/>
          <w:szCs w:val="30"/>
          <w:highlight w:val="none"/>
        </w:rPr>
        <w:t>平方千米，</w:t>
      </w:r>
      <w:r>
        <w:rPr>
          <w:rFonts w:hint="eastAsia" w:eastAsia="方正仿宋_GBK"/>
          <w:color w:val="auto"/>
          <w:sz w:val="30"/>
          <w:szCs w:val="30"/>
          <w:highlight w:val="none"/>
        </w:rPr>
        <w:t>地质公园1个（国家级）</w:t>
      </w:r>
      <w:r>
        <w:rPr>
          <w:rFonts w:eastAsia="方正仿宋_GBK"/>
          <w:color w:val="auto"/>
          <w:sz w:val="30"/>
          <w:szCs w:val="30"/>
          <w:highlight w:val="none"/>
        </w:rPr>
        <w:t>，规模为</w:t>
      </w:r>
      <w:r>
        <w:rPr>
          <w:rFonts w:hint="eastAsia" w:eastAsia="方正仿宋_GBK"/>
          <w:color w:val="auto"/>
          <w:sz w:val="30"/>
          <w:szCs w:val="30"/>
          <w:highlight w:val="none"/>
        </w:rPr>
        <w:t>174.62</w:t>
      </w:r>
      <w:r>
        <w:rPr>
          <w:rFonts w:eastAsia="方正仿宋_GBK"/>
          <w:color w:val="auto"/>
          <w:sz w:val="30"/>
          <w:szCs w:val="30"/>
          <w:highlight w:val="none"/>
        </w:rPr>
        <w:t>平方千米，</w:t>
      </w:r>
      <w:r>
        <w:rPr>
          <w:rFonts w:hint="eastAsia" w:eastAsia="方正仿宋_GBK"/>
          <w:color w:val="auto"/>
          <w:sz w:val="30"/>
          <w:szCs w:val="30"/>
          <w:highlight w:val="none"/>
        </w:rPr>
        <w:t>草原公园1个（地方级）</w:t>
      </w:r>
      <w:r>
        <w:rPr>
          <w:rFonts w:eastAsia="方正仿宋_GBK"/>
          <w:color w:val="auto"/>
          <w:sz w:val="30"/>
          <w:szCs w:val="30"/>
          <w:highlight w:val="none"/>
        </w:rPr>
        <w:t>，规模为</w:t>
      </w:r>
      <w:r>
        <w:rPr>
          <w:rFonts w:hint="eastAsia" w:eastAsia="方正仿宋_GBK"/>
          <w:color w:val="auto"/>
          <w:sz w:val="30"/>
          <w:szCs w:val="30"/>
          <w:highlight w:val="none"/>
        </w:rPr>
        <w:t>5.05</w:t>
      </w:r>
      <w:r>
        <w:rPr>
          <w:rFonts w:eastAsia="方正仿宋_GBK"/>
          <w:color w:val="auto"/>
          <w:sz w:val="30"/>
          <w:szCs w:val="30"/>
          <w:highlight w:val="none"/>
        </w:rPr>
        <w:t>平方千米，</w:t>
      </w:r>
      <w:r>
        <w:rPr>
          <w:rFonts w:hint="eastAsia" w:eastAsia="方正仿宋_GBK"/>
          <w:color w:val="auto"/>
          <w:sz w:val="30"/>
          <w:szCs w:val="30"/>
          <w:highlight w:val="none"/>
        </w:rPr>
        <w:t>湿地公园1个（地方级）</w:t>
      </w:r>
      <w:r>
        <w:rPr>
          <w:rFonts w:eastAsia="方正仿宋_GBK"/>
          <w:color w:val="auto"/>
          <w:sz w:val="30"/>
          <w:szCs w:val="30"/>
          <w:highlight w:val="none"/>
        </w:rPr>
        <w:t>，规模为</w:t>
      </w:r>
      <w:r>
        <w:rPr>
          <w:rFonts w:hint="eastAsia" w:eastAsia="方正仿宋_GBK"/>
          <w:color w:val="auto"/>
          <w:sz w:val="30"/>
          <w:szCs w:val="30"/>
          <w:highlight w:val="none"/>
        </w:rPr>
        <w:t>33.93</w:t>
      </w:r>
      <w:r>
        <w:rPr>
          <w:rFonts w:eastAsia="方正仿宋_GBK"/>
          <w:color w:val="auto"/>
          <w:sz w:val="30"/>
          <w:szCs w:val="30"/>
          <w:highlight w:val="none"/>
        </w:rPr>
        <w:t>平方千米，</w:t>
      </w:r>
      <w:r>
        <w:rPr>
          <w:rFonts w:hint="eastAsia" w:eastAsia="方正仿宋_GBK"/>
          <w:color w:val="auto"/>
          <w:sz w:val="30"/>
          <w:szCs w:val="30"/>
          <w:highlight w:val="none"/>
        </w:rPr>
        <w:t>风景名胜区6个（地方级），</w:t>
      </w:r>
      <w:r>
        <w:rPr>
          <w:rFonts w:eastAsia="方正仿宋_GBK"/>
          <w:color w:val="auto"/>
          <w:sz w:val="30"/>
          <w:szCs w:val="30"/>
          <w:highlight w:val="none"/>
        </w:rPr>
        <w:t>规模为</w:t>
      </w:r>
      <w:r>
        <w:rPr>
          <w:rFonts w:hint="eastAsia" w:eastAsia="方正仿宋_GBK"/>
          <w:color w:val="auto"/>
          <w:sz w:val="30"/>
          <w:szCs w:val="30"/>
          <w:highlight w:val="none"/>
        </w:rPr>
        <w:t>560.92</w:t>
      </w:r>
      <w:r>
        <w:rPr>
          <w:rFonts w:eastAsia="方正仿宋_GBK"/>
          <w:color w:val="auto"/>
          <w:sz w:val="30"/>
          <w:szCs w:val="30"/>
          <w:highlight w:val="none"/>
        </w:rPr>
        <w:t>平方千米</w:t>
      </w:r>
      <w:r>
        <w:rPr>
          <w:rFonts w:hint="eastAsia" w:eastAsia="方正仿宋_GBK"/>
          <w:color w:val="auto"/>
          <w:sz w:val="30"/>
          <w:szCs w:val="30"/>
          <w:highlight w:val="none"/>
        </w:rPr>
        <w:t>。</w:t>
      </w:r>
      <w:r>
        <w:rPr>
          <w:rFonts w:eastAsia="方正仿宋_GBK"/>
          <w:color w:val="auto"/>
          <w:sz w:val="30"/>
          <w:szCs w:val="30"/>
          <w:highlight w:val="none"/>
        </w:rPr>
        <w:t>有效保护森林、湿地、水域、生物等珍贵自然生态系统，以及所承载的景观、地质地貌和文化多样性。</w:t>
      </w:r>
    </w:p>
    <w:p w14:paraId="5BE6B512">
      <w:pPr>
        <w:pStyle w:val="5"/>
        <w:rPr>
          <w:rFonts w:eastAsia="方正黑体简体"/>
          <w:color w:val="auto"/>
          <w:highlight w:val="none"/>
        </w:rPr>
      </w:pPr>
      <w:bookmarkStart w:id="141" w:name="_Toc73380371"/>
      <w:bookmarkStart w:id="142" w:name="_Toc10319"/>
      <w:bookmarkStart w:id="143" w:name="_Toc131433168"/>
      <w:bookmarkStart w:id="144" w:name="_Toc184639386"/>
      <w:bookmarkStart w:id="145" w:name="_Toc131433334"/>
      <w:r>
        <w:rPr>
          <w:color w:val="auto"/>
          <w:highlight w:val="none"/>
        </w:rPr>
        <w:t>第二节</w:t>
      </w:r>
      <w:r>
        <w:rPr>
          <w:rFonts w:eastAsia="方正黑体简体"/>
          <w:color w:val="auto"/>
          <w:highlight w:val="none"/>
        </w:rPr>
        <w:t xml:space="preserve"> </w:t>
      </w:r>
      <w:r>
        <w:rPr>
          <w:color w:val="auto"/>
          <w:highlight w:val="none"/>
        </w:rPr>
        <w:t>全面提升生态系统功能</w:t>
      </w:r>
      <w:bookmarkEnd w:id="141"/>
      <w:bookmarkEnd w:id="142"/>
      <w:bookmarkEnd w:id="143"/>
      <w:bookmarkEnd w:id="144"/>
      <w:bookmarkEnd w:id="145"/>
    </w:p>
    <w:p w14:paraId="3CBD5A1E">
      <w:pPr>
        <w:pStyle w:val="6"/>
        <w:rPr>
          <w:color w:val="auto"/>
          <w:highlight w:val="none"/>
        </w:rPr>
      </w:pPr>
      <w:bookmarkStart w:id="146" w:name="_Toc73374563"/>
      <w:bookmarkStart w:id="147" w:name="_Toc73380374"/>
      <w:bookmarkStart w:id="148" w:name="_Toc73374960"/>
      <w:bookmarkStart w:id="149" w:name="_Toc61533635"/>
      <w:r>
        <w:rPr>
          <w:color w:val="auto"/>
          <w:highlight w:val="none"/>
        </w:rPr>
        <w:t>一、</w:t>
      </w:r>
      <w:bookmarkEnd w:id="146"/>
      <w:bookmarkEnd w:id="147"/>
      <w:bookmarkEnd w:id="148"/>
      <w:bookmarkEnd w:id="149"/>
      <w:r>
        <w:rPr>
          <w:rFonts w:hint="eastAsia"/>
          <w:color w:val="auto"/>
          <w:highlight w:val="none"/>
        </w:rPr>
        <w:t>严格保护生物多样性优先区域</w:t>
      </w:r>
    </w:p>
    <w:p w14:paraId="4736FDED">
      <w:pPr>
        <w:ind w:firstLine="600"/>
        <w:rPr>
          <w:rFonts w:eastAsia="方正仿宋_GBK"/>
          <w:color w:val="auto"/>
          <w:sz w:val="30"/>
          <w:szCs w:val="30"/>
          <w:highlight w:val="none"/>
        </w:rPr>
      </w:pPr>
      <w:r>
        <w:rPr>
          <w:rFonts w:eastAsia="方正仿宋_GBK"/>
          <w:color w:val="auto"/>
          <w:sz w:val="30"/>
          <w:szCs w:val="30"/>
          <w:highlight w:val="none"/>
        </w:rPr>
        <w:t>以哀牢山中山湿性常绿阔叶林为核心，保护亚热带中山湿性常绿阔叶林生态系统和</w:t>
      </w:r>
      <w:r>
        <w:rPr>
          <w:rFonts w:hint="eastAsia" w:eastAsia="方正仿宋_GBK"/>
          <w:color w:val="auto"/>
          <w:sz w:val="30"/>
          <w:szCs w:val="30"/>
          <w:highlight w:val="none"/>
        </w:rPr>
        <w:t>西黑冠长臂猿</w:t>
      </w:r>
      <w:r>
        <w:rPr>
          <w:rFonts w:eastAsia="方正仿宋_GBK"/>
          <w:color w:val="auto"/>
          <w:sz w:val="30"/>
          <w:szCs w:val="30"/>
          <w:highlight w:val="none"/>
        </w:rPr>
        <w:t>、绿孔雀、灰叶猴等珍贵野生动物；以半湿润常绿阔叶林为支撑，保护常绿阔叶林生态系统，</w:t>
      </w:r>
      <w:r>
        <w:rPr>
          <w:rFonts w:hint="eastAsia" w:eastAsia="方正仿宋_GBK"/>
          <w:color w:val="auto"/>
          <w:sz w:val="30"/>
          <w:szCs w:val="30"/>
          <w:highlight w:val="none"/>
        </w:rPr>
        <w:t>重点保护</w:t>
      </w:r>
      <w:r>
        <w:rPr>
          <w:rFonts w:eastAsia="方正仿宋_GBK"/>
          <w:color w:val="auto"/>
          <w:sz w:val="30"/>
          <w:szCs w:val="30"/>
          <w:highlight w:val="none"/>
        </w:rPr>
        <w:t>扇蕨、猕猴、金猫、云豹等野生动植物为主；以干热河谷半常绿季雨林生态系统，重点保护元江苏铁、云南苏铁、红椿、桫椤、绿孔雀、蜂猴等野生动植物。</w:t>
      </w:r>
    </w:p>
    <w:p w14:paraId="31BD1EA9">
      <w:pPr>
        <w:ind w:firstLine="600"/>
        <w:rPr>
          <w:rFonts w:eastAsia="方正仿宋_GBK"/>
          <w:color w:val="auto"/>
          <w:sz w:val="30"/>
          <w:szCs w:val="30"/>
          <w:highlight w:val="none"/>
        </w:rPr>
        <w:sectPr>
          <w:pgSz w:w="11906" w:h="16838"/>
          <w:pgMar w:top="2041" w:right="1644" w:bottom="1871" w:left="1644" w:header="851" w:footer="992" w:gutter="0"/>
          <w:cols w:space="425" w:num="1"/>
          <w:docGrid w:type="linesAndChars" w:linePitch="312" w:charSpace="0"/>
        </w:sectPr>
      </w:pPr>
      <w:r>
        <w:rPr>
          <w:rFonts w:eastAsia="方正仿宋_GBK"/>
          <w:color w:val="auto"/>
          <w:sz w:val="30"/>
          <w:szCs w:val="30"/>
          <w:highlight w:val="none"/>
        </w:rPr>
        <w:t>西部生物多样性保护廊道位于楚雄州西部自北向南延伸，主要涉及大姚县、姚安县和南华县，主要生态功能为生物多样性维护。</w:t>
      </w:r>
    </w:p>
    <w:p w14:paraId="6DF3C8F6">
      <w:pPr>
        <w:pStyle w:val="11"/>
        <w:rPr>
          <w:color w:val="auto"/>
          <w:highlight w:val="none"/>
        </w:rPr>
      </w:pPr>
      <w:r>
        <w:rPr>
          <w:color w:val="auto"/>
          <w:highlight w:val="none"/>
        </w:rPr>
        <w:t>专栏</w:t>
      </w:r>
      <w:r>
        <w:rPr>
          <w:rFonts w:hint="eastAsia"/>
          <w:color w:val="auto"/>
          <w:highlight w:val="none"/>
          <w:lang w:val="en-US" w:eastAsia="zh-CN"/>
        </w:rPr>
        <w:t>3</w:t>
      </w:r>
      <w:r>
        <w:rPr>
          <w:color w:val="auto"/>
          <w:highlight w:val="none"/>
        </w:rPr>
        <w:t xml:space="preserve">  楚雄州生物多样性重点区域</w:t>
      </w:r>
    </w:p>
    <w:tbl>
      <w:tblPr>
        <w:tblStyle w:val="32"/>
        <w:tblW w:w="5000" w:type="pct"/>
        <w:jc w:val="center"/>
        <w:tblLayout w:type="autofit"/>
        <w:tblCellMar>
          <w:top w:w="0" w:type="dxa"/>
          <w:left w:w="108" w:type="dxa"/>
          <w:bottom w:w="0" w:type="dxa"/>
          <w:right w:w="108" w:type="dxa"/>
        </w:tblCellMar>
      </w:tblPr>
      <w:tblGrid>
        <w:gridCol w:w="4078"/>
        <w:gridCol w:w="4756"/>
      </w:tblGrid>
      <w:tr w14:paraId="245DE0D9">
        <w:tblPrEx>
          <w:tblCellMar>
            <w:top w:w="0" w:type="dxa"/>
            <w:left w:w="108" w:type="dxa"/>
            <w:bottom w:w="0" w:type="dxa"/>
            <w:right w:w="108" w:type="dxa"/>
          </w:tblCellMar>
        </w:tblPrEx>
        <w:trPr>
          <w:trHeight w:val="270" w:hRule="atLeast"/>
          <w:tblHeader/>
          <w:jc w:val="center"/>
        </w:trPr>
        <w:tc>
          <w:tcPr>
            <w:tcW w:w="23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71869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主要分布区域</w:t>
            </w:r>
          </w:p>
        </w:tc>
        <w:tc>
          <w:tcPr>
            <w:tcW w:w="2692" w:type="pct"/>
            <w:tcBorders>
              <w:top w:val="single" w:color="auto" w:sz="4" w:space="0"/>
              <w:left w:val="nil"/>
              <w:bottom w:val="single" w:color="auto" w:sz="4" w:space="0"/>
              <w:right w:val="single" w:color="auto" w:sz="4" w:space="0"/>
            </w:tcBorders>
            <w:shd w:val="clear" w:color="auto" w:fill="auto"/>
            <w:noWrap/>
            <w:vAlign w:val="center"/>
          </w:tcPr>
          <w:p w14:paraId="6A4641F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主要功能</w:t>
            </w:r>
          </w:p>
        </w:tc>
      </w:tr>
      <w:tr w14:paraId="0800553B">
        <w:tblPrEx>
          <w:tblCellMar>
            <w:top w:w="0" w:type="dxa"/>
            <w:left w:w="108" w:type="dxa"/>
            <w:bottom w:w="0" w:type="dxa"/>
            <w:right w:w="108" w:type="dxa"/>
          </w:tblCellMar>
        </w:tblPrEx>
        <w:trPr>
          <w:trHeight w:val="1080" w:hRule="atLeast"/>
          <w:jc w:val="center"/>
        </w:trPr>
        <w:tc>
          <w:tcPr>
            <w:tcW w:w="2308" w:type="pct"/>
            <w:tcBorders>
              <w:top w:val="nil"/>
              <w:left w:val="single" w:color="auto" w:sz="4" w:space="0"/>
              <w:bottom w:val="single" w:color="auto" w:sz="4" w:space="0"/>
              <w:right w:val="single" w:color="auto" w:sz="4" w:space="0"/>
            </w:tcBorders>
            <w:shd w:val="clear" w:color="auto" w:fill="auto"/>
            <w:noWrap/>
            <w:vAlign w:val="center"/>
          </w:tcPr>
          <w:p w14:paraId="4087B42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南部哀牢山生态屏障</w:t>
            </w:r>
          </w:p>
        </w:tc>
        <w:tc>
          <w:tcPr>
            <w:tcW w:w="2692" w:type="pct"/>
            <w:tcBorders>
              <w:top w:val="nil"/>
              <w:left w:val="nil"/>
              <w:bottom w:val="single" w:color="auto" w:sz="4" w:space="0"/>
              <w:right w:val="single" w:color="auto" w:sz="4" w:space="0"/>
            </w:tcBorders>
            <w:shd w:val="clear" w:color="auto" w:fill="auto"/>
            <w:vAlign w:val="center"/>
          </w:tcPr>
          <w:p w14:paraId="3118304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以哀牢山中山湿性常绿阔叶林为核心，保护亚热带中山湿性常绿阔叶林生态系统和西黑冠长臂猿、绿孔雀、灰叶猴等珍贵野生动物</w:t>
            </w:r>
          </w:p>
        </w:tc>
      </w:tr>
      <w:tr w14:paraId="78093356">
        <w:tblPrEx>
          <w:tblCellMar>
            <w:top w:w="0" w:type="dxa"/>
            <w:left w:w="108" w:type="dxa"/>
            <w:bottom w:w="0" w:type="dxa"/>
            <w:right w:w="108" w:type="dxa"/>
          </w:tblCellMar>
        </w:tblPrEx>
        <w:trPr>
          <w:trHeight w:val="1080" w:hRule="atLeast"/>
          <w:jc w:val="center"/>
        </w:trPr>
        <w:tc>
          <w:tcPr>
            <w:tcW w:w="2308" w:type="pct"/>
            <w:tcBorders>
              <w:top w:val="nil"/>
              <w:left w:val="single" w:color="auto" w:sz="4" w:space="0"/>
              <w:bottom w:val="single" w:color="auto" w:sz="4" w:space="0"/>
              <w:right w:val="single" w:color="auto" w:sz="4" w:space="0"/>
            </w:tcBorders>
            <w:shd w:val="clear" w:color="auto" w:fill="auto"/>
            <w:noWrap/>
            <w:vAlign w:val="center"/>
          </w:tcPr>
          <w:p w14:paraId="0FD2789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北部生态屏障</w:t>
            </w:r>
          </w:p>
        </w:tc>
        <w:tc>
          <w:tcPr>
            <w:tcW w:w="2692" w:type="pct"/>
            <w:tcBorders>
              <w:top w:val="nil"/>
              <w:left w:val="nil"/>
              <w:bottom w:val="single" w:color="auto" w:sz="4" w:space="0"/>
              <w:right w:val="single" w:color="auto" w:sz="4" w:space="0"/>
            </w:tcBorders>
            <w:shd w:val="clear" w:color="auto" w:fill="auto"/>
            <w:vAlign w:val="center"/>
          </w:tcPr>
          <w:p w14:paraId="1868657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以半湿润常绿阔叶林为支撑，保护常绿阔叶林生态系统，以扇蕨、猕猴、金猫、云豹等野生动植物为主</w:t>
            </w:r>
          </w:p>
        </w:tc>
      </w:tr>
      <w:tr w14:paraId="574C02C5">
        <w:tblPrEx>
          <w:tblCellMar>
            <w:top w:w="0" w:type="dxa"/>
            <w:left w:w="108" w:type="dxa"/>
            <w:bottom w:w="0" w:type="dxa"/>
            <w:right w:w="108" w:type="dxa"/>
          </w:tblCellMar>
        </w:tblPrEx>
        <w:trPr>
          <w:trHeight w:val="270" w:hRule="atLeast"/>
          <w:jc w:val="center"/>
        </w:trPr>
        <w:tc>
          <w:tcPr>
            <w:tcW w:w="23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3516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金沙江干热河谷地带</w:t>
            </w:r>
          </w:p>
        </w:tc>
        <w:tc>
          <w:tcPr>
            <w:tcW w:w="26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57545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以干热河谷半常绿季雨林生态系统为主，重点保护元江苏铁、云南苏铁、红椿、桫椤、绿孔雀、蜂猴等野生动植物</w:t>
            </w:r>
          </w:p>
        </w:tc>
      </w:tr>
      <w:tr w14:paraId="4362C529">
        <w:tblPrEx>
          <w:tblCellMar>
            <w:top w:w="0" w:type="dxa"/>
            <w:left w:w="108" w:type="dxa"/>
            <w:bottom w:w="0" w:type="dxa"/>
            <w:right w:w="108" w:type="dxa"/>
          </w:tblCellMar>
        </w:tblPrEx>
        <w:trPr>
          <w:trHeight w:val="270" w:hRule="atLeast"/>
          <w:jc w:val="center"/>
        </w:trPr>
        <w:tc>
          <w:tcPr>
            <w:tcW w:w="23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325F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元江干热河谷地带</w:t>
            </w:r>
          </w:p>
        </w:tc>
        <w:tc>
          <w:tcPr>
            <w:tcW w:w="2692" w:type="pct"/>
            <w:vMerge w:val="continue"/>
            <w:tcBorders>
              <w:top w:val="single" w:color="auto" w:sz="4" w:space="0"/>
              <w:left w:val="single" w:color="auto" w:sz="4" w:space="0"/>
              <w:bottom w:val="single" w:color="auto" w:sz="4" w:space="0"/>
              <w:right w:val="single" w:color="auto" w:sz="4" w:space="0"/>
            </w:tcBorders>
            <w:vAlign w:val="center"/>
          </w:tcPr>
          <w:p w14:paraId="6BA566B9">
            <w:pPr>
              <w:pStyle w:val="56"/>
              <w:overflowPunct w:val="0"/>
              <w:adjustRightInd/>
              <w:snapToGrid/>
              <w:spacing w:line="360" w:lineRule="exact"/>
              <w:ind w:firstLine="0" w:firstLineChars="0"/>
              <w:jc w:val="center"/>
              <w:rPr>
                <w:rFonts w:eastAsia="方正仿宋_GBK"/>
                <w:color w:val="auto"/>
                <w:sz w:val="24"/>
                <w:szCs w:val="24"/>
                <w:highlight w:val="none"/>
              </w:rPr>
            </w:pPr>
          </w:p>
        </w:tc>
      </w:tr>
      <w:tr w14:paraId="25C52C76">
        <w:tblPrEx>
          <w:tblCellMar>
            <w:top w:w="0" w:type="dxa"/>
            <w:left w:w="108" w:type="dxa"/>
            <w:bottom w:w="0" w:type="dxa"/>
            <w:right w:w="108" w:type="dxa"/>
          </w:tblCellMar>
        </w:tblPrEx>
        <w:trPr>
          <w:trHeight w:val="270" w:hRule="atLeast"/>
          <w:jc w:val="center"/>
        </w:trPr>
        <w:tc>
          <w:tcPr>
            <w:tcW w:w="23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29CC5">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西部生物多样性保护廊道</w:t>
            </w:r>
          </w:p>
        </w:tc>
        <w:tc>
          <w:tcPr>
            <w:tcW w:w="2692" w:type="pct"/>
            <w:tcBorders>
              <w:top w:val="single" w:color="auto" w:sz="4" w:space="0"/>
              <w:left w:val="single" w:color="auto" w:sz="4" w:space="0"/>
              <w:bottom w:val="single" w:color="auto" w:sz="4" w:space="0"/>
              <w:right w:val="single" w:color="auto" w:sz="4" w:space="0"/>
            </w:tcBorders>
            <w:vAlign w:val="center"/>
          </w:tcPr>
          <w:p w14:paraId="13B51A7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主要涉及大姚县、姚安县和南华县</w:t>
            </w:r>
            <w:r>
              <w:rPr>
                <w:rFonts w:hint="eastAsia" w:eastAsia="方正仿宋_GBK"/>
                <w:color w:val="auto"/>
                <w:sz w:val="24"/>
                <w:szCs w:val="24"/>
                <w:highlight w:val="none"/>
              </w:rPr>
              <w:t>的</w:t>
            </w:r>
            <w:r>
              <w:rPr>
                <w:rFonts w:eastAsia="方正仿宋_GBK"/>
                <w:color w:val="auto"/>
                <w:sz w:val="24"/>
                <w:szCs w:val="24"/>
                <w:highlight w:val="none"/>
              </w:rPr>
              <w:t>生物多样性</w:t>
            </w:r>
            <w:r>
              <w:rPr>
                <w:rFonts w:hint="eastAsia" w:eastAsia="方正仿宋_GBK"/>
                <w:color w:val="auto"/>
                <w:sz w:val="24"/>
                <w:szCs w:val="24"/>
                <w:highlight w:val="none"/>
              </w:rPr>
              <w:t>保护，</w:t>
            </w:r>
            <w:r>
              <w:rPr>
                <w:rFonts w:eastAsia="方正仿宋_GBK"/>
                <w:color w:val="auto"/>
                <w:sz w:val="24"/>
                <w:szCs w:val="24"/>
                <w:highlight w:val="none"/>
              </w:rPr>
              <w:t>加强</w:t>
            </w:r>
            <w:r>
              <w:rPr>
                <w:rFonts w:hint="eastAsia" w:eastAsia="方正仿宋_GBK"/>
                <w:color w:val="auto"/>
                <w:sz w:val="24"/>
                <w:szCs w:val="24"/>
                <w:highlight w:val="none"/>
                <w:lang w:eastAsia="zh-CN"/>
              </w:rPr>
              <w:t>连通性</w:t>
            </w:r>
          </w:p>
        </w:tc>
      </w:tr>
    </w:tbl>
    <w:p w14:paraId="18476D8E">
      <w:pPr>
        <w:pStyle w:val="11"/>
        <w:rPr>
          <w:color w:val="auto"/>
          <w:highlight w:val="none"/>
        </w:rPr>
      </w:pPr>
      <w:bookmarkStart w:id="150" w:name="_Toc73374564"/>
      <w:bookmarkStart w:id="151" w:name="_Toc61533636"/>
      <w:bookmarkStart w:id="152" w:name="_Toc73374961"/>
      <w:bookmarkStart w:id="153" w:name="_Toc73380375"/>
      <w:r>
        <w:rPr>
          <w:color w:val="auto"/>
          <w:highlight w:val="none"/>
        </w:rPr>
        <w:t>专栏</w:t>
      </w:r>
      <w:r>
        <w:rPr>
          <w:rFonts w:hint="eastAsia"/>
          <w:color w:val="auto"/>
          <w:highlight w:val="none"/>
          <w:lang w:val="en-US" w:eastAsia="zh-CN"/>
        </w:rPr>
        <w:t>4</w:t>
      </w:r>
      <w:r>
        <w:rPr>
          <w:color w:val="auto"/>
          <w:highlight w:val="none"/>
        </w:rPr>
        <w:t xml:space="preserve">  楚雄州生物多样性保护对象</w:t>
      </w:r>
    </w:p>
    <w:tbl>
      <w:tblPr>
        <w:tblStyle w:val="32"/>
        <w:tblW w:w="5000" w:type="pct"/>
        <w:jc w:val="center"/>
        <w:tblLayout w:type="autofit"/>
        <w:tblCellMar>
          <w:top w:w="0" w:type="dxa"/>
          <w:left w:w="108" w:type="dxa"/>
          <w:bottom w:w="0" w:type="dxa"/>
          <w:right w:w="108" w:type="dxa"/>
        </w:tblCellMar>
      </w:tblPr>
      <w:tblGrid>
        <w:gridCol w:w="1947"/>
        <w:gridCol w:w="6887"/>
      </w:tblGrid>
      <w:tr w14:paraId="11526C7C">
        <w:tblPrEx>
          <w:tblCellMar>
            <w:top w:w="0" w:type="dxa"/>
            <w:left w:w="108" w:type="dxa"/>
            <w:bottom w:w="0" w:type="dxa"/>
            <w:right w:w="108" w:type="dxa"/>
          </w:tblCellMar>
        </w:tblPrEx>
        <w:trPr>
          <w:trHeight w:val="288" w:hRule="atLeast"/>
          <w:tblHeader/>
          <w:jc w:val="center"/>
        </w:trPr>
        <w:tc>
          <w:tcPr>
            <w:tcW w:w="1102" w:type="pct"/>
            <w:tcBorders>
              <w:top w:val="single" w:color="auto" w:sz="4" w:space="0"/>
              <w:left w:val="single" w:color="auto" w:sz="4" w:space="0"/>
              <w:bottom w:val="single" w:color="auto" w:sz="4" w:space="0"/>
              <w:right w:val="single" w:color="auto" w:sz="4" w:space="0"/>
            </w:tcBorders>
            <w:shd w:val="clear" w:color="auto" w:fill="auto"/>
            <w:vAlign w:val="center"/>
          </w:tcPr>
          <w:p w14:paraId="0742AD6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名称</w:t>
            </w:r>
          </w:p>
        </w:tc>
        <w:tc>
          <w:tcPr>
            <w:tcW w:w="3898" w:type="pct"/>
            <w:tcBorders>
              <w:top w:val="single" w:color="auto" w:sz="4" w:space="0"/>
              <w:left w:val="nil"/>
              <w:bottom w:val="single" w:color="auto" w:sz="4" w:space="0"/>
              <w:right w:val="single" w:color="auto" w:sz="4" w:space="0"/>
            </w:tcBorders>
            <w:shd w:val="clear" w:color="auto" w:fill="auto"/>
            <w:vAlign w:val="center"/>
          </w:tcPr>
          <w:p w14:paraId="24028FC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保护对象</w:t>
            </w:r>
          </w:p>
        </w:tc>
      </w:tr>
      <w:tr w14:paraId="449F1E32">
        <w:tblPrEx>
          <w:tblCellMar>
            <w:top w:w="0" w:type="dxa"/>
            <w:left w:w="108" w:type="dxa"/>
            <w:bottom w:w="0" w:type="dxa"/>
            <w:right w:w="108" w:type="dxa"/>
          </w:tblCellMar>
        </w:tblPrEx>
        <w:trPr>
          <w:trHeight w:val="864"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2218847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云南哀牢山国家级自然保护区</w:t>
            </w:r>
          </w:p>
        </w:tc>
        <w:tc>
          <w:tcPr>
            <w:tcW w:w="3898" w:type="pct"/>
            <w:tcBorders>
              <w:top w:val="nil"/>
              <w:left w:val="nil"/>
              <w:bottom w:val="single" w:color="auto" w:sz="4" w:space="0"/>
              <w:right w:val="single" w:color="auto" w:sz="4" w:space="0"/>
            </w:tcBorders>
            <w:shd w:val="clear" w:color="auto" w:fill="auto"/>
            <w:vAlign w:val="center"/>
          </w:tcPr>
          <w:p w14:paraId="219DFA7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中山湿性常绿阔叶林生态系统。（2）西黑冠长臂猿、印支灰叶猴、熊猴、短尾猴、猕猴、黑颈长尾雉、鸳鸯等国家重点保护野生动物及其栖息地。重点保护野生动物：绿孔雀和西黑冠长臂猿。（3）喜马拉雅红豆杉、长蕊木兰、水青树、伯乐树、中华桫椤、景东翅子树等国家重点保护野生植物及其生境。</w:t>
            </w:r>
          </w:p>
        </w:tc>
      </w:tr>
      <w:tr w14:paraId="400ECA27">
        <w:tblPrEx>
          <w:tblCellMar>
            <w:top w:w="0" w:type="dxa"/>
            <w:left w:w="108" w:type="dxa"/>
            <w:bottom w:w="0" w:type="dxa"/>
            <w:right w:w="108" w:type="dxa"/>
          </w:tblCellMar>
        </w:tblPrEx>
        <w:trPr>
          <w:trHeight w:val="864"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2756320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楚雄三峰山自然保护区</w:t>
            </w:r>
          </w:p>
        </w:tc>
        <w:tc>
          <w:tcPr>
            <w:tcW w:w="3898" w:type="pct"/>
            <w:tcBorders>
              <w:top w:val="nil"/>
              <w:left w:val="nil"/>
              <w:bottom w:val="single" w:color="auto" w:sz="4" w:space="0"/>
              <w:right w:val="single" w:color="auto" w:sz="4" w:space="0"/>
            </w:tcBorders>
            <w:shd w:val="clear" w:color="auto" w:fill="auto"/>
            <w:vAlign w:val="center"/>
          </w:tcPr>
          <w:p w14:paraId="30C992B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w:t>
            </w:r>
            <w:r>
              <w:rPr>
                <w:rFonts w:eastAsia="方正仿宋_GBK"/>
                <w:color w:val="auto"/>
                <w:sz w:val="24"/>
                <w:szCs w:val="24"/>
                <w:highlight w:val="none"/>
              </w:rPr>
              <w:t>1</w:t>
            </w:r>
            <w:r>
              <w:rPr>
                <w:rFonts w:hint="eastAsia" w:eastAsia="方正仿宋_GBK"/>
                <w:color w:val="auto"/>
                <w:sz w:val="24"/>
                <w:szCs w:val="24"/>
                <w:highlight w:val="none"/>
              </w:rPr>
              <w:t>）中山湿性常绿阔叶林、落叶阔叶林、暖温性针叶林生态系统。（</w:t>
            </w:r>
            <w:r>
              <w:rPr>
                <w:rFonts w:eastAsia="方正仿宋_GBK"/>
                <w:color w:val="auto"/>
                <w:sz w:val="24"/>
                <w:szCs w:val="24"/>
                <w:highlight w:val="none"/>
              </w:rPr>
              <w:t>2</w:t>
            </w:r>
            <w:r>
              <w:rPr>
                <w:rFonts w:hint="eastAsia" w:eastAsia="方正仿宋_GBK"/>
                <w:color w:val="auto"/>
                <w:sz w:val="24"/>
                <w:szCs w:val="24"/>
                <w:highlight w:val="none"/>
              </w:rPr>
              <w:t>）国家一级保护动物林麝；国家二级保护兽类</w:t>
            </w:r>
            <w:r>
              <w:rPr>
                <w:rFonts w:eastAsia="方正仿宋_GBK"/>
                <w:color w:val="auto"/>
                <w:sz w:val="24"/>
                <w:szCs w:val="24"/>
                <w:highlight w:val="none"/>
              </w:rPr>
              <w:t>4</w:t>
            </w:r>
            <w:r>
              <w:rPr>
                <w:rFonts w:hint="eastAsia" w:eastAsia="方正仿宋_GBK"/>
                <w:color w:val="auto"/>
                <w:sz w:val="24"/>
                <w:szCs w:val="24"/>
                <w:highlight w:val="none"/>
              </w:rPr>
              <w:t>种：猕猴、大灵猫和小灵猫。（</w:t>
            </w:r>
            <w:r>
              <w:rPr>
                <w:rFonts w:eastAsia="方正仿宋_GBK"/>
                <w:color w:val="auto"/>
                <w:sz w:val="24"/>
                <w:szCs w:val="24"/>
                <w:highlight w:val="none"/>
              </w:rPr>
              <w:t>3</w:t>
            </w:r>
            <w:r>
              <w:rPr>
                <w:rFonts w:hint="eastAsia" w:eastAsia="方正仿宋_GBK"/>
                <w:color w:val="auto"/>
                <w:sz w:val="24"/>
                <w:szCs w:val="24"/>
                <w:highlight w:val="none"/>
              </w:rPr>
              <w:t>）国家Ⅱ保护鸟类</w:t>
            </w:r>
            <w:r>
              <w:rPr>
                <w:rFonts w:eastAsia="方正仿宋_GBK"/>
                <w:color w:val="auto"/>
                <w:sz w:val="24"/>
                <w:szCs w:val="24"/>
                <w:highlight w:val="none"/>
              </w:rPr>
              <w:t>11</w:t>
            </w:r>
            <w:r>
              <w:rPr>
                <w:rFonts w:hint="eastAsia" w:eastAsia="方正仿宋_GBK"/>
                <w:color w:val="auto"/>
                <w:sz w:val="24"/>
                <w:szCs w:val="24"/>
                <w:highlight w:val="none"/>
              </w:rPr>
              <w:t>种：白鹇、雉鸡、雀鹰、凤头鹰、普通鵟、鹊鹞、苍鹰、红隼、褐翅鸦鹃、领角鸮、褐林鸮。</w:t>
            </w:r>
          </w:p>
        </w:tc>
      </w:tr>
      <w:tr w14:paraId="438046E6">
        <w:tblPrEx>
          <w:tblCellMar>
            <w:top w:w="0" w:type="dxa"/>
            <w:left w:w="108" w:type="dxa"/>
            <w:bottom w:w="0" w:type="dxa"/>
            <w:right w:w="108" w:type="dxa"/>
          </w:tblCellMar>
        </w:tblPrEx>
        <w:trPr>
          <w:trHeight w:val="1152"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126E192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楚雄樟木箐自然保护区</w:t>
            </w:r>
          </w:p>
        </w:tc>
        <w:tc>
          <w:tcPr>
            <w:tcW w:w="3898" w:type="pct"/>
            <w:tcBorders>
              <w:top w:val="nil"/>
              <w:left w:val="nil"/>
              <w:bottom w:val="single" w:color="auto" w:sz="4" w:space="0"/>
              <w:right w:val="single" w:color="auto" w:sz="4" w:space="0"/>
            </w:tcBorders>
            <w:shd w:val="clear" w:color="auto" w:fill="auto"/>
            <w:vAlign w:val="center"/>
          </w:tcPr>
          <w:p w14:paraId="24C8B97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亚热带常绿阔叶林生态系统，云南松林、旱冬瓜林、麻栎林等植被。（2）国家二级保护野生植物4种：楠木、喜树、香果树、龙棕。（3）有国家二级保护种类9种：雀鹰南方亚种、凤头鹰普通亚种、普通鵟、鹊鹞、红隼、白鹇、褐翅鸦鹃华南亚种、领角鸮和褐林鸮。（4）国家二级保护哺乳动物3种：大灵猫和小灵猫。国家二级保护两栖类动物：虎纹蛙。</w:t>
            </w:r>
          </w:p>
        </w:tc>
      </w:tr>
      <w:tr w14:paraId="62E1FB66">
        <w:tblPrEx>
          <w:tblCellMar>
            <w:top w:w="0" w:type="dxa"/>
            <w:left w:w="108" w:type="dxa"/>
            <w:bottom w:w="0" w:type="dxa"/>
            <w:right w:w="108" w:type="dxa"/>
          </w:tblCellMar>
        </w:tblPrEx>
        <w:trPr>
          <w:trHeight w:val="675"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2B2CCDA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大姚百草岭自然保护区</w:t>
            </w:r>
          </w:p>
        </w:tc>
        <w:tc>
          <w:tcPr>
            <w:tcW w:w="3898" w:type="pct"/>
            <w:tcBorders>
              <w:top w:val="nil"/>
              <w:left w:val="nil"/>
              <w:bottom w:val="single" w:color="auto" w:sz="4" w:space="0"/>
              <w:right w:val="single" w:color="auto" w:sz="4" w:space="0"/>
            </w:tcBorders>
            <w:shd w:val="clear" w:color="auto" w:fill="auto"/>
            <w:vAlign w:val="center"/>
          </w:tcPr>
          <w:p w14:paraId="70D97EC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（1）典型的中山湿性常绿阔叶林为代表的山地植被垂直分布生态系统</w:t>
            </w:r>
            <w:r>
              <w:rPr>
                <w:rFonts w:hint="eastAsia" w:eastAsia="方正仿宋_GBK"/>
                <w:color w:val="auto"/>
                <w:sz w:val="24"/>
                <w:szCs w:val="24"/>
                <w:highlight w:val="none"/>
              </w:rPr>
              <w:t>。</w:t>
            </w:r>
            <w:r>
              <w:rPr>
                <w:rFonts w:eastAsia="方正仿宋_GBK"/>
                <w:color w:val="auto"/>
                <w:sz w:val="24"/>
                <w:szCs w:val="24"/>
                <w:highlight w:val="none"/>
              </w:rPr>
              <w:t>（2）国家一级保护植物秃杉，国家二级保护植物篦子</w:t>
            </w:r>
            <w:r>
              <w:rPr>
                <w:rFonts w:hint="eastAsia" w:eastAsia="方正仿宋_GBK"/>
                <w:color w:val="auto"/>
                <w:sz w:val="24"/>
                <w:szCs w:val="24"/>
                <w:highlight w:val="none"/>
              </w:rPr>
              <w:t>、</w:t>
            </w:r>
            <w:r>
              <w:rPr>
                <w:rFonts w:eastAsia="方正仿宋_GBK"/>
                <w:color w:val="auto"/>
                <w:sz w:val="24"/>
                <w:szCs w:val="24"/>
                <w:highlight w:val="none"/>
              </w:rPr>
              <w:t>三尖杉、栌菊木、龙棕等6种。（3）国家重点保护珍稀哺乳动物豹和熊猴，国家二级保护动物猕猴、黑熊等12种。（4）国家一级保护鸟类黑鹳、金雕</w:t>
            </w:r>
            <w:r>
              <w:rPr>
                <w:rFonts w:hint="eastAsia" w:eastAsia="方正仿宋_GBK"/>
                <w:color w:val="auto"/>
                <w:sz w:val="24"/>
                <w:szCs w:val="24"/>
                <w:highlight w:val="none"/>
              </w:rPr>
              <w:t>等</w:t>
            </w:r>
            <w:r>
              <w:rPr>
                <w:rFonts w:eastAsia="方正仿宋_GBK"/>
                <w:color w:val="auto"/>
                <w:sz w:val="24"/>
                <w:szCs w:val="24"/>
                <w:highlight w:val="none"/>
              </w:rPr>
              <w:t>。</w:t>
            </w:r>
          </w:p>
        </w:tc>
      </w:tr>
      <w:tr w14:paraId="182963A0">
        <w:tblPrEx>
          <w:tblCellMar>
            <w:top w:w="0" w:type="dxa"/>
            <w:left w:w="108" w:type="dxa"/>
            <w:bottom w:w="0" w:type="dxa"/>
            <w:right w:w="108" w:type="dxa"/>
          </w:tblCellMar>
        </w:tblPrEx>
        <w:trPr>
          <w:trHeight w:val="249"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1276672D">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禄丰雕翎山自然保护区</w:t>
            </w:r>
          </w:p>
        </w:tc>
        <w:tc>
          <w:tcPr>
            <w:tcW w:w="3898" w:type="pct"/>
            <w:tcBorders>
              <w:top w:val="nil"/>
              <w:left w:val="nil"/>
              <w:bottom w:val="single" w:color="auto" w:sz="4" w:space="0"/>
              <w:right w:val="single" w:color="auto" w:sz="4" w:space="0"/>
            </w:tcBorders>
            <w:shd w:val="clear" w:color="auto" w:fill="auto"/>
            <w:vAlign w:val="center"/>
          </w:tcPr>
          <w:p w14:paraId="6360EB2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具有5个植被型：常绿阔叶林、暖性针叶林、灌丛、落叶阔叶林、草甸；7个植被亚型：半湿润常绿阔叶林、中山湿性常绿阔叶林、山顶苔藓矮林、暖温性落叶阔叶林、暖温性针叶林、暖温性灌丛、杂类草草甸，计10个群系。（2）分布2种国际自然保护联盟（IUCN）的保护植物，即山玉兰（濒危EN）和疏毛猕猴桃（易危VU）。楚雄州特有植物1种（大姚复叶耳蕨）</w:t>
            </w:r>
            <w:r>
              <w:rPr>
                <w:rFonts w:hint="eastAsia" w:eastAsia="方正仿宋_GBK"/>
                <w:color w:val="auto"/>
                <w:sz w:val="24"/>
                <w:szCs w:val="24"/>
                <w:highlight w:val="none"/>
              </w:rPr>
              <w:t>。</w:t>
            </w:r>
            <w:r>
              <w:rPr>
                <w:rFonts w:eastAsia="方正仿宋_GBK"/>
                <w:color w:val="auto"/>
                <w:sz w:val="24"/>
                <w:szCs w:val="24"/>
                <w:highlight w:val="none"/>
              </w:rPr>
              <w:t>（3）国家一级重点保护动物有林麝；国家二级重点保护动物有凤头蜂鹰、松雀鹰、鹊鹞、蛇鵰、红隼、白鹇、白腹锦鸡、楔尾绿鸠、灰头鹦鹉、鵰鸮。</w:t>
            </w:r>
          </w:p>
        </w:tc>
      </w:tr>
      <w:tr w14:paraId="79222B6F">
        <w:tblPrEx>
          <w:tblCellMar>
            <w:top w:w="0" w:type="dxa"/>
            <w:left w:w="108" w:type="dxa"/>
            <w:bottom w:w="0" w:type="dxa"/>
            <w:right w:w="108" w:type="dxa"/>
          </w:tblCellMar>
        </w:tblPrEx>
        <w:trPr>
          <w:trHeight w:val="576"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06DFB6A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楚雄紫溪山风景名胜区</w:t>
            </w:r>
          </w:p>
        </w:tc>
        <w:tc>
          <w:tcPr>
            <w:tcW w:w="3898" w:type="pct"/>
            <w:tcBorders>
              <w:top w:val="nil"/>
              <w:left w:val="nil"/>
              <w:bottom w:val="single" w:color="auto" w:sz="4" w:space="0"/>
              <w:right w:val="single" w:color="auto" w:sz="4" w:space="0"/>
            </w:tcBorders>
            <w:shd w:val="clear" w:color="auto" w:fill="auto"/>
            <w:vAlign w:val="center"/>
          </w:tcPr>
          <w:p w14:paraId="4F6F3A7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（1）半湿润常绿阔叶林森林生态系统。（2）以林麝、黑颈长尾雉为主的濒危野生动物资源。（3）以香果树、红花木莲、云南山茶、猴子木为代表的重点野生植物资源。</w:t>
            </w:r>
          </w:p>
        </w:tc>
      </w:tr>
      <w:tr w14:paraId="1A3C4BE7">
        <w:tblPrEx>
          <w:tblCellMar>
            <w:top w:w="0" w:type="dxa"/>
            <w:left w:w="108" w:type="dxa"/>
            <w:bottom w:w="0" w:type="dxa"/>
            <w:right w:w="108" w:type="dxa"/>
          </w:tblCellMar>
        </w:tblPrEx>
        <w:trPr>
          <w:trHeight w:val="222"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2EE9437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禄丰五台山森林公园</w:t>
            </w:r>
          </w:p>
        </w:tc>
        <w:tc>
          <w:tcPr>
            <w:tcW w:w="3898" w:type="pct"/>
            <w:tcBorders>
              <w:top w:val="nil"/>
              <w:left w:val="nil"/>
              <w:bottom w:val="single" w:color="auto" w:sz="4" w:space="0"/>
              <w:right w:val="single" w:color="auto" w:sz="4" w:space="0"/>
            </w:tcBorders>
            <w:shd w:val="clear" w:color="auto" w:fill="auto"/>
            <w:vAlign w:val="center"/>
          </w:tcPr>
          <w:p w14:paraId="45CE666D">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（1）亚热带常绿阔叶林为代表的森林生态系统，次生植被有栓皮栎林、旱冬瓜林、华山松林、云南松林</w:t>
            </w:r>
            <w:r>
              <w:rPr>
                <w:rFonts w:hint="eastAsia" w:eastAsia="方正仿宋_GBK"/>
                <w:color w:val="auto"/>
                <w:sz w:val="24"/>
                <w:szCs w:val="24"/>
                <w:highlight w:val="none"/>
              </w:rPr>
              <w:t>。</w:t>
            </w:r>
            <w:r>
              <w:rPr>
                <w:rFonts w:eastAsia="方正仿宋_GBK"/>
                <w:color w:val="auto"/>
                <w:sz w:val="24"/>
                <w:szCs w:val="24"/>
                <w:highlight w:val="none"/>
              </w:rPr>
              <w:t>（2）国家二级保护野生植物4种：金荞麦、龙棕、大花香水月季和松茸。云南省重点保护野生植物有2种：长梗润楠、五柱滇山茶。（3）国家一级重点保护鸟类2种：黑颈长尾雉和金雕；有国家二级保护种类12种：白鹇、白腹锦鸡、红隼、普通鵟、松雀鹰、鸢、雀鹰、黑翅鸢、斑头鸺鹠、短耳鸮、雕鸮、褐林鸮。（4）国家</w:t>
            </w:r>
            <w:r>
              <w:rPr>
                <w:rFonts w:hint="eastAsia" w:eastAsia="方正仿宋_GBK"/>
                <w:color w:val="auto"/>
                <w:sz w:val="24"/>
                <w:szCs w:val="24"/>
                <w:highlight w:val="none"/>
              </w:rPr>
              <w:t>Ⅱ</w:t>
            </w:r>
            <w:r>
              <w:rPr>
                <w:rFonts w:eastAsia="方正仿宋_GBK"/>
                <w:color w:val="auto"/>
                <w:sz w:val="24"/>
                <w:szCs w:val="24"/>
                <w:highlight w:val="none"/>
              </w:rPr>
              <w:t>级保护动物红瘰疣螈；云南省省级保护动物眼镜蛇。</w:t>
            </w:r>
          </w:p>
        </w:tc>
      </w:tr>
      <w:tr w14:paraId="493265EC">
        <w:tblPrEx>
          <w:tblCellMar>
            <w:top w:w="0" w:type="dxa"/>
            <w:left w:w="108" w:type="dxa"/>
            <w:bottom w:w="0" w:type="dxa"/>
            <w:right w:w="108" w:type="dxa"/>
          </w:tblCellMar>
        </w:tblPrEx>
        <w:trPr>
          <w:trHeight w:val="288"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16388A6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武定狮子山风景名胜区</w:t>
            </w:r>
          </w:p>
        </w:tc>
        <w:tc>
          <w:tcPr>
            <w:tcW w:w="3898" w:type="pct"/>
            <w:tcBorders>
              <w:top w:val="nil"/>
              <w:left w:val="single" w:color="auto" w:sz="4" w:space="0"/>
              <w:bottom w:val="single" w:color="auto" w:sz="4" w:space="0"/>
              <w:right w:val="single" w:color="auto" w:sz="4" w:space="0"/>
            </w:tcBorders>
            <w:shd w:val="clear" w:color="auto" w:fill="auto"/>
            <w:vAlign w:val="center"/>
          </w:tcPr>
          <w:p w14:paraId="12224EB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w:t>
            </w:r>
            <w:r>
              <w:rPr>
                <w:rFonts w:hint="eastAsia" w:eastAsia="方正仿宋_GBK"/>
                <w:color w:val="auto"/>
                <w:sz w:val="24"/>
                <w:szCs w:val="24"/>
                <w:highlight w:val="none"/>
              </w:rPr>
              <w:t>珍稀</w:t>
            </w:r>
            <w:r>
              <w:rPr>
                <w:rFonts w:eastAsia="方正仿宋_GBK"/>
                <w:color w:val="auto"/>
                <w:sz w:val="24"/>
                <w:szCs w:val="24"/>
                <w:highlight w:val="none"/>
              </w:rPr>
              <w:t>兽类有金猫、水獭、斑林狸、猕猴、林麝等；</w:t>
            </w:r>
            <w:r>
              <w:rPr>
                <w:rFonts w:hint="eastAsia" w:eastAsia="方正仿宋_GBK"/>
                <w:color w:val="auto"/>
                <w:sz w:val="24"/>
                <w:szCs w:val="24"/>
                <w:highlight w:val="none"/>
              </w:rPr>
              <w:t>珍稀</w:t>
            </w:r>
            <w:r>
              <w:rPr>
                <w:rFonts w:eastAsia="方正仿宋_GBK"/>
                <w:color w:val="auto"/>
                <w:sz w:val="24"/>
                <w:szCs w:val="24"/>
                <w:highlight w:val="none"/>
              </w:rPr>
              <w:t>两栖类有红螺疣等。（2）珍</w:t>
            </w:r>
            <w:r>
              <w:rPr>
                <w:rFonts w:hint="eastAsia" w:eastAsia="方正仿宋_GBK"/>
                <w:color w:val="auto"/>
                <w:sz w:val="24"/>
                <w:szCs w:val="24"/>
                <w:highlight w:val="none"/>
              </w:rPr>
              <w:t>稀</w:t>
            </w:r>
            <w:r>
              <w:rPr>
                <w:rFonts w:eastAsia="方正仿宋_GBK"/>
                <w:color w:val="auto"/>
                <w:sz w:val="24"/>
                <w:szCs w:val="24"/>
                <w:highlight w:val="none"/>
              </w:rPr>
              <w:t>鸟类有游隼、红隼、黑鸢、松雀鹰、白鸠等</w:t>
            </w:r>
            <w:r>
              <w:rPr>
                <w:rFonts w:hint="eastAsia" w:eastAsia="方正仿宋_GBK"/>
                <w:color w:val="auto"/>
                <w:sz w:val="24"/>
                <w:szCs w:val="24"/>
                <w:highlight w:val="none"/>
              </w:rPr>
              <w:t>。</w:t>
            </w:r>
            <w:r>
              <w:rPr>
                <w:rFonts w:eastAsia="方正仿宋_GBK"/>
                <w:color w:val="auto"/>
                <w:sz w:val="24"/>
                <w:szCs w:val="24"/>
                <w:highlight w:val="none"/>
              </w:rPr>
              <w:t>（3）国家二级保护植物的云南山茶、云香果树</w:t>
            </w:r>
            <w:r>
              <w:rPr>
                <w:rFonts w:hint="eastAsia" w:eastAsia="方正仿宋_GBK"/>
                <w:color w:val="auto"/>
                <w:sz w:val="24"/>
                <w:szCs w:val="24"/>
                <w:highlight w:val="none"/>
              </w:rPr>
              <w:t>。</w:t>
            </w:r>
          </w:p>
        </w:tc>
      </w:tr>
      <w:tr w14:paraId="2374E5FF">
        <w:tblPrEx>
          <w:tblCellMar>
            <w:top w:w="0" w:type="dxa"/>
            <w:left w:w="108" w:type="dxa"/>
            <w:bottom w:w="0" w:type="dxa"/>
            <w:right w:w="108" w:type="dxa"/>
          </w:tblCellMar>
        </w:tblPrEx>
        <w:trPr>
          <w:trHeight w:val="576"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2D7CE55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姚安大尖山森林公园</w:t>
            </w:r>
          </w:p>
        </w:tc>
        <w:tc>
          <w:tcPr>
            <w:tcW w:w="3898" w:type="pct"/>
            <w:tcBorders>
              <w:top w:val="nil"/>
              <w:left w:val="nil"/>
              <w:bottom w:val="single" w:color="auto" w:sz="4" w:space="0"/>
              <w:right w:val="single" w:color="auto" w:sz="4" w:space="0"/>
            </w:tcBorders>
            <w:shd w:val="clear" w:color="auto" w:fill="auto"/>
            <w:vAlign w:val="center"/>
          </w:tcPr>
          <w:p w14:paraId="2B7786A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（1）以半湿润中山湿性常绿阔叶林、落叶阔叶林等为代表的森林生态系统。（2）国家二级保护兽类3种：大灵猫和小灵猫。（3）国家二级保护鸟类5种：白鹇、雀鹰、普通鵟、苍鹰、红隼。</w:t>
            </w:r>
          </w:p>
        </w:tc>
      </w:tr>
      <w:tr w14:paraId="7287FC1D">
        <w:tblPrEx>
          <w:tblCellMar>
            <w:top w:w="0" w:type="dxa"/>
            <w:left w:w="108" w:type="dxa"/>
            <w:bottom w:w="0" w:type="dxa"/>
            <w:right w:w="108" w:type="dxa"/>
          </w:tblCellMar>
        </w:tblPrEx>
        <w:trPr>
          <w:trHeight w:val="576" w:hRule="atLeast"/>
          <w:jc w:val="center"/>
        </w:trPr>
        <w:tc>
          <w:tcPr>
            <w:tcW w:w="1102" w:type="pct"/>
            <w:tcBorders>
              <w:top w:val="nil"/>
              <w:left w:val="single" w:color="auto" w:sz="4" w:space="0"/>
              <w:bottom w:val="single" w:color="auto" w:sz="4" w:space="0"/>
              <w:right w:val="single" w:color="auto" w:sz="4" w:space="0"/>
            </w:tcBorders>
            <w:shd w:val="clear" w:color="auto" w:fill="auto"/>
            <w:vAlign w:val="center"/>
          </w:tcPr>
          <w:p w14:paraId="56A825C0">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姚安花椒园森林公园</w:t>
            </w:r>
          </w:p>
        </w:tc>
        <w:tc>
          <w:tcPr>
            <w:tcW w:w="3898" w:type="pct"/>
            <w:tcBorders>
              <w:top w:val="nil"/>
              <w:left w:val="nil"/>
              <w:bottom w:val="single" w:color="auto" w:sz="4" w:space="0"/>
              <w:right w:val="single" w:color="auto" w:sz="4" w:space="0"/>
            </w:tcBorders>
            <w:shd w:val="clear" w:color="auto" w:fill="auto"/>
            <w:vAlign w:val="center"/>
          </w:tcPr>
          <w:p w14:paraId="0BBD26D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（1）国家一级保护兽类1种：林麝；国家二级保护兽类4种：猕猴、大灵猫和小灵猫。（2）国家二</w:t>
            </w:r>
            <w:r>
              <w:rPr>
                <w:rFonts w:hint="eastAsia" w:eastAsia="方正仿宋_GBK"/>
                <w:color w:val="auto"/>
                <w:sz w:val="24"/>
                <w:szCs w:val="24"/>
                <w:highlight w:val="none"/>
              </w:rPr>
              <w:t>级</w:t>
            </w:r>
            <w:r>
              <w:rPr>
                <w:rFonts w:eastAsia="方正仿宋_GBK"/>
                <w:color w:val="auto"/>
                <w:sz w:val="24"/>
                <w:szCs w:val="24"/>
                <w:highlight w:val="none"/>
              </w:rPr>
              <w:t>保护鸟类8种：白鹇、雉鸡、雀鹰、普通鵟、苍鹰、褐翅鸦鹃、领角鸮、褐林鸮。</w:t>
            </w:r>
          </w:p>
        </w:tc>
      </w:tr>
    </w:tbl>
    <w:p w14:paraId="65DFE7F5">
      <w:pPr>
        <w:pStyle w:val="6"/>
        <w:rPr>
          <w:color w:val="auto"/>
          <w:highlight w:val="none"/>
        </w:rPr>
      </w:pPr>
      <w:r>
        <w:rPr>
          <w:color w:val="auto"/>
          <w:highlight w:val="none"/>
        </w:rPr>
        <w:t>二、提升水源涵养功能</w:t>
      </w:r>
      <w:bookmarkEnd w:id="150"/>
      <w:bookmarkEnd w:id="151"/>
      <w:bookmarkEnd w:id="152"/>
      <w:bookmarkEnd w:id="153"/>
    </w:p>
    <w:p w14:paraId="59D292EB">
      <w:pPr>
        <w:ind w:firstLine="600"/>
        <w:rPr>
          <w:color w:val="auto"/>
          <w:sz w:val="30"/>
          <w:szCs w:val="30"/>
          <w:highlight w:val="none"/>
        </w:rPr>
      </w:pPr>
      <w:r>
        <w:rPr>
          <w:rFonts w:hint="eastAsia" w:eastAsia="方正仿宋_GBK"/>
          <w:color w:val="auto"/>
          <w:sz w:val="30"/>
          <w:szCs w:val="30"/>
          <w:highlight w:val="none"/>
        </w:rPr>
        <w:t>加强对</w:t>
      </w:r>
      <w:r>
        <w:rPr>
          <w:rFonts w:eastAsia="方正仿宋_GBK"/>
          <w:color w:val="auto"/>
          <w:sz w:val="30"/>
          <w:szCs w:val="30"/>
          <w:highlight w:val="none"/>
        </w:rPr>
        <w:t>金沙江流域水源涵养区、元江流域水源涵养区、重点饮用水水源涵养区和南部水源涵养廊道等重点水源涵养区的保护，提升水源涵养功能。严格保护水源涵养功能区域的自然植被，禁止过度放牧、无序采矿、毁林开荒等行为。</w:t>
      </w:r>
      <w:r>
        <w:rPr>
          <w:color w:val="auto"/>
          <w:sz w:val="30"/>
          <w:szCs w:val="30"/>
          <w:highlight w:val="none"/>
        </w:rPr>
        <w:t xml:space="preserve"> </w:t>
      </w:r>
    </w:p>
    <w:p w14:paraId="63DBD2B9">
      <w:pPr>
        <w:pStyle w:val="6"/>
        <w:rPr>
          <w:color w:val="auto"/>
          <w:highlight w:val="none"/>
        </w:rPr>
      </w:pPr>
      <w:bookmarkStart w:id="154" w:name="_Toc73380376"/>
      <w:bookmarkStart w:id="155" w:name="_Toc73374962"/>
      <w:bookmarkStart w:id="156" w:name="_Toc73374565"/>
      <w:bookmarkStart w:id="157" w:name="_Toc61533637"/>
      <w:r>
        <w:rPr>
          <w:color w:val="auto"/>
          <w:highlight w:val="none"/>
        </w:rPr>
        <w:t>三、强化水土保持</w:t>
      </w:r>
      <w:bookmarkEnd w:id="154"/>
      <w:bookmarkEnd w:id="155"/>
      <w:bookmarkEnd w:id="156"/>
      <w:bookmarkEnd w:id="157"/>
    </w:p>
    <w:p w14:paraId="0330019D">
      <w:pPr>
        <w:ind w:firstLine="600"/>
        <w:rPr>
          <w:rFonts w:eastAsia="方正仿宋_GBK"/>
          <w:color w:val="auto"/>
          <w:sz w:val="30"/>
          <w:szCs w:val="30"/>
          <w:highlight w:val="none"/>
        </w:rPr>
      </w:pPr>
      <w:r>
        <w:rPr>
          <w:rFonts w:eastAsia="方正仿宋_GBK"/>
          <w:color w:val="auto"/>
          <w:sz w:val="30"/>
          <w:szCs w:val="30"/>
          <w:highlight w:val="none"/>
        </w:rPr>
        <w:t>划定金沙江干热河谷及山原水土保持区、哀牢山山地水土保持区、中部水土保持廊道和东部水土保持廊道等重点水土保持区域，加强水土保持区天然林地、草地和湿地保护，预防水土流失，提升水土保持功能。限制影响水土保持功能的各类开发和生产活动，最大限度降低人类活动造成的新的水土流失。推进植树造林</w:t>
      </w:r>
      <w:r>
        <w:rPr>
          <w:rFonts w:hint="eastAsia" w:eastAsia="方正仿宋_GBK"/>
          <w:color w:val="auto"/>
          <w:sz w:val="30"/>
          <w:szCs w:val="30"/>
          <w:highlight w:val="none"/>
        </w:rPr>
        <w:t>、</w:t>
      </w:r>
      <w:r>
        <w:rPr>
          <w:rFonts w:eastAsia="方正仿宋_GBK"/>
          <w:color w:val="auto"/>
          <w:sz w:val="30"/>
          <w:szCs w:val="30"/>
          <w:highlight w:val="none"/>
        </w:rPr>
        <w:t>封山育林</w:t>
      </w:r>
      <w:r>
        <w:rPr>
          <w:rFonts w:hint="eastAsia" w:eastAsia="方正仿宋_GBK"/>
          <w:color w:val="auto"/>
          <w:sz w:val="30"/>
          <w:szCs w:val="30"/>
          <w:highlight w:val="none"/>
        </w:rPr>
        <w:t>等</w:t>
      </w:r>
      <w:r>
        <w:rPr>
          <w:rFonts w:eastAsia="方正仿宋_GBK"/>
          <w:color w:val="auto"/>
          <w:sz w:val="30"/>
          <w:szCs w:val="30"/>
          <w:highlight w:val="none"/>
        </w:rPr>
        <w:t>重</w:t>
      </w:r>
      <w:r>
        <w:rPr>
          <w:rFonts w:hint="eastAsia" w:eastAsia="方正仿宋_GBK"/>
          <w:color w:val="auto"/>
          <w:sz w:val="30"/>
          <w:szCs w:val="30"/>
          <w:highlight w:val="none"/>
        </w:rPr>
        <w:t>点</w:t>
      </w:r>
      <w:r>
        <w:rPr>
          <w:rFonts w:eastAsia="方正仿宋_GBK"/>
          <w:color w:val="auto"/>
          <w:sz w:val="30"/>
          <w:szCs w:val="30"/>
          <w:highlight w:val="none"/>
        </w:rPr>
        <w:t>工程，实施小流域综合治理，减缓水土流失。</w:t>
      </w:r>
    </w:p>
    <w:p w14:paraId="2FD40C9B">
      <w:pPr>
        <w:pStyle w:val="5"/>
        <w:rPr>
          <w:rFonts w:eastAsia="方正黑体简体"/>
          <w:color w:val="auto"/>
          <w:highlight w:val="none"/>
        </w:rPr>
      </w:pPr>
      <w:bookmarkStart w:id="158" w:name="_Toc73380366"/>
      <w:bookmarkStart w:id="159" w:name="_Toc131433335"/>
      <w:bookmarkStart w:id="160" w:name="_Toc16821"/>
      <w:bookmarkStart w:id="161" w:name="_Toc184639387"/>
      <w:bookmarkStart w:id="162" w:name="_Toc131433169"/>
      <w:r>
        <w:rPr>
          <w:color w:val="auto"/>
          <w:highlight w:val="none"/>
        </w:rPr>
        <w:t>第三节</w:t>
      </w:r>
      <w:r>
        <w:rPr>
          <w:rFonts w:eastAsia="方正黑体简体"/>
          <w:color w:val="auto"/>
          <w:highlight w:val="none"/>
        </w:rPr>
        <w:t xml:space="preserve"> </w:t>
      </w:r>
      <w:bookmarkEnd w:id="158"/>
      <w:r>
        <w:rPr>
          <w:color w:val="auto"/>
          <w:highlight w:val="none"/>
        </w:rPr>
        <w:t>强化生态空间管控</w:t>
      </w:r>
      <w:bookmarkEnd w:id="159"/>
      <w:bookmarkEnd w:id="160"/>
      <w:bookmarkEnd w:id="161"/>
      <w:bookmarkEnd w:id="162"/>
    </w:p>
    <w:p w14:paraId="74F456AB">
      <w:pPr>
        <w:pStyle w:val="6"/>
        <w:rPr>
          <w:color w:val="auto"/>
          <w:highlight w:val="none"/>
        </w:rPr>
      </w:pPr>
      <w:r>
        <w:rPr>
          <w:color w:val="auto"/>
          <w:highlight w:val="none"/>
        </w:rPr>
        <w:t>一、统筹林草湿地保护</w:t>
      </w:r>
    </w:p>
    <w:p w14:paraId="5CADDF72">
      <w:pPr>
        <w:ind w:firstLine="600"/>
        <w:rPr>
          <w:rFonts w:eastAsia="方正仿宋_GBK"/>
          <w:color w:val="auto"/>
          <w:sz w:val="30"/>
          <w:szCs w:val="30"/>
          <w:highlight w:val="none"/>
        </w:rPr>
      </w:pPr>
      <w:r>
        <w:rPr>
          <w:rFonts w:hint="eastAsia" w:eastAsia="方正仿宋_GBK"/>
          <w:color w:val="auto"/>
          <w:sz w:val="30"/>
          <w:szCs w:val="30"/>
          <w:highlight w:val="none"/>
        </w:rPr>
        <w:t>森林、草地、自然湿地是最为重要的自然碳库资源</w:t>
      </w:r>
      <w:r>
        <w:rPr>
          <w:rFonts w:eastAsia="方正仿宋_GBK"/>
          <w:color w:val="auto"/>
          <w:sz w:val="30"/>
          <w:szCs w:val="30"/>
          <w:highlight w:val="none"/>
        </w:rPr>
        <w:t>，加强林草湿地保护，持续推进荒山植树造林、城市绿化建设等国土绿化行动，提升林草植被覆盖度、森林蓄积量，提升陆域生态系统碳汇能力。实施退化湿地生态系统修复工程，抓好河道整治及入河入库污染治理、库塘周边生活污染治理等工作，推进元谋凤凰湖、大姚永丰湖等</w:t>
      </w:r>
      <w:r>
        <w:rPr>
          <w:rFonts w:hint="eastAsia" w:eastAsia="方正仿宋_GBK"/>
          <w:color w:val="auto"/>
          <w:sz w:val="30"/>
          <w:szCs w:val="30"/>
          <w:highlight w:val="none"/>
        </w:rPr>
        <w:t>区域林草湿地的</w:t>
      </w:r>
      <w:r>
        <w:rPr>
          <w:rFonts w:eastAsia="方正仿宋_GBK"/>
          <w:color w:val="auto"/>
          <w:sz w:val="30"/>
          <w:szCs w:val="30"/>
          <w:highlight w:val="none"/>
        </w:rPr>
        <w:t>保护修复，维护</w:t>
      </w:r>
      <w:r>
        <w:rPr>
          <w:rFonts w:hint="eastAsia" w:eastAsia="方正仿宋_GBK"/>
          <w:color w:val="auto"/>
          <w:sz w:val="30"/>
          <w:szCs w:val="30"/>
          <w:highlight w:val="none"/>
        </w:rPr>
        <w:t>区域</w:t>
      </w:r>
      <w:r>
        <w:rPr>
          <w:rFonts w:eastAsia="方正仿宋_GBK"/>
          <w:color w:val="auto"/>
          <w:sz w:val="30"/>
          <w:szCs w:val="30"/>
          <w:highlight w:val="none"/>
        </w:rPr>
        <w:t>内的生态系统结构功能。</w:t>
      </w:r>
    </w:p>
    <w:p w14:paraId="15620609">
      <w:pPr>
        <w:pStyle w:val="6"/>
        <w:rPr>
          <w:color w:val="auto"/>
          <w:highlight w:val="none"/>
        </w:rPr>
      </w:pPr>
      <w:bookmarkStart w:id="163" w:name="_Toc73380368"/>
      <w:r>
        <w:rPr>
          <w:color w:val="auto"/>
          <w:highlight w:val="none"/>
        </w:rPr>
        <w:t>二、</w:t>
      </w:r>
      <w:bookmarkEnd w:id="163"/>
      <w:r>
        <w:rPr>
          <w:color w:val="auto"/>
          <w:highlight w:val="none"/>
        </w:rPr>
        <w:t>加强水域空间保护</w:t>
      </w:r>
    </w:p>
    <w:p w14:paraId="6C8E5724">
      <w:pPr>
        <w:ind w:firstLine="600"/>
        <w:rPr>
          <w:rFonts w:eastAsia="方正仿宋_GBK"/>
          <w:color w:val="auto"/>
          <w:sz w:val="30"/>
          <w:szCs w:val="30"/>
          <w:highlight w:val="none"/>
        </w:rPr>
      </w:pPr>
      <w:r>
        <w:rPr>
          <w:rFonts w:hint="eastAsia" w:eastAsia="方正仿宋_GBK"/>
          <w:color w:val="auto"/>
          <w:sz w:val="30"/>
          <w:szCs w:val="30"/>
          <w:highlight w:val="none"/>
        </w:rPr>
        <w:t>加强河流岸线管理，保护河流生态网络，严格重要水域空间管控，明确管控边界、严格用途管控，严禁随意侵占重要河湖水域空间和自然岸线，逐步退出位于主河槽内等严重影响行洪安全和供水安全的开发活动，加强水环境整治，深入开展水质提升行动，坚持“一河（湖）一策”治理思路，推进金沙江、礼社江、龙川江、蜻蛉河、星宿江（绿汁江）等流域水环境综合治理，强化河（湖）长制，构建以改善水环境质量为核心的流域控制单元精细化管理体系。推进城镇污水管网全覆盖，全面实行排污许可制。加强城乡饮用水水源保护，开展饮用水水源地规范化建设，强化水源水质监管，实施楚雄市东华镇罗其美水库、牟定县安乐乡中峰水库等饮用水水源地保护工程。开展地下水环境状况调查，严控地下水超采，推进重点地下水污染源风险防控</w:t>
      </w:r>
      <w:r>
        <w:rPr>
          <w:rFonts w:eastAsia="方正仿宋_GBK"/>
          <w:color w:val="auto"/>
          <w:sz w:val="30"/>
          <w:szCs w:val="30"/>
          <w:highlight w:val="none"/>
        </w:rPr>
        <w:t>。</w:t>
      </w:r>
    </w:p>
    <w:p w14:paraId="380651D4">
      <w:pPr>
        <w:pStyle w:val="5"/>
        <w:rPr>
          <w:rFonts w:eastAsia="方正黑体简体"/>
          <w:color w:val="auto"/>
          <w:highlight w:val="none"/>
        </w:rPr>
      </w:pPr>
      <w:bookmarkStart w:id="164" w:name="_Toc184639388"/>
      <w:bookmarkStart w:id="165" w:name="_Toc73380377"/>
      <w:bookmarkStart w:id="166" w:name="_Toc131433336"/>
      <w:bookmarkStart w:id="167" w:name="_Toc26740"/>
      <w:bookmarkStart w:id="168" w:name="_Toc131433170"/>
      <w:r>
        <w:rPr>
          <w:color w:val="auto"/>
          <w:highlight w:val="none"/>
        </w:rPr>
        <w:t>第四节</w:t>
      </w:r>
      <w:r>
        <w:rPr>
          <w:rFonts w:eastAsia="方正黑体简体"/>
          <w:color w:val="auto"/>
          <w:highlight w:val="none"/>
        </w:rPr>
        <w:t xml:space="preserve"> </w:t>
      </w:r>
      <w:r>
        <w:rPr>
          <w:color w:val="auto"/>
          <w:highlight w:val="none"/>
        </w:rPr>
        <w:t>全面推进生态修复</w:t>
      </w:r>
      <w:bookmarkEnd w:id="164"/>
      <w:bookmarkEnd w:id="165"/>
      <w:bookmarkEnd w:id="166"/>
      <w:bookmarkEnd w:id="167"/>
      <w:bookmarkEnd w:id="168"/>
    </w:p>
    <w:p w14:paraId="657DF885">
      <w:pPr>
        <w:pStyle w:val="6"/>
        <w:rPr>
          <w:color w:val="auto"/>
          <w:highlight w:val="none"/>
        </w:rPr>
      </w:pPr>
      <w:bookmarkStart w:id="169" w:name="_Toc61533643"/>
      <w:bookmarkStart w:id="170" w:name="_Toc73374964"/>
      <w:bookmarkStart w:id="171" w:name="_Toc73374567"/>
      <w:bookmarkStart w:id="172" w:name="_Toc73380378"/>
      <w:r>
        <w:rPr>
          <w:color w:val="auto"/>
          <w:highlight w:val="none"/>
        </w:rPr>
        <w:t>一、加强生态功能退化区修复</w:t>
      </w:r>
      <w:bookmarkEnd w:id="169"/>
      <w:bookmarkEnd w:id="170"/>
      <w:bookmarkEnd w:id="171"/>
      <w:bookmarkEnd w:id="172"/>
    </w:p>
    <w:p w14:paraId="2CB40399">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建立生态系统监测与评价体系。</w:t>
      </w:r>
      <w:r>
        <w:rPr>
          <w:rFonts w:eastAsia="方正仿宋_GBK"/>
          <w:color w:val="auto"/>
          <w:sz w:val="30"/>
          <w:szCs w:val="30"/>
          <w:highlight w:val="none"/>
        </w:rPr>
        <w:t>及时发现生态系统功能受损区域及发生机制，评估受损程度。针对植被破坏、土壤污染、水体污染、水土流失等不同原因造成的生态系统功能退化问题，坚持工程与生物措施相结合、人工治理与自然修复相结合，综合运用土地整治、植被恢复、水环境治理、河湖水系连通、野生动物栖息地恢复等措施，逐步修复生态系统功能。</w:t>
      </w:r>
    </w:p>
    <w:p w14:paraId="10FAD309">
      <w:pPr>
        <w:ind w:firstLine="600"/>
        <w:rPr>
          <w:color w:val="auto"/>
          <w:sz w:val="30"/>
          <w:szCs w:val="30"/>
          <w:highlight w:val="none"/>
        </w:rPr>
      </w:pPr>
      <w:r>
        <w:rPr>
          <w:rFonts w:ascii="方正楷体_GBK" w:eastAsia="方正楷体_GBK"/>
          <w:color w:val="auto"/>
          <w:sz w:val="30"/>
          <w:szCs w:val="30"/>
          <w:highlight w:val="none"/>
        </w:rPr>
        <w:t>加强森林、湿地功能修复与生态治理。</w:t>
      </w:r>
      <w:r>
        <w:rPr>
          <w:rFonts w:eastAsia="方正仿宋_GBK"/>
          <w:color w:val="auto"/>
          <w:sz w:val="30"/>
          <w:szCs w:val="30"/>
          <w:highlight w:val="none"/>
        </w:rPr>
        <w:t>在湿地、林地等生态系统类型比较丰富的地区，采取植被恢复、野生动物栖息地恢复等措施，实施湿地、退化林地的修复治理工程，逐步恢复生态系统功能。重点对金沙江、礼社江、绿汁江、龙川江等重要水系流域源头和上游区域以及五台山、白竹山</w:t>
      </w:r>
      <w:r>
        <w:rPr>
          <w:rFonts w:hint="eastAsia" w:eastAsia="方正仿宋_GBK"/>
          <w:color w:val="auto"/>
          <w:sz w:val="30"/>
          <w:szCs w:val="30"/>
          <w:highlight w:val="none"/>
        </w:rPr>
        <w:t>、</w:t>
      </w:r>
      <w:r>
        <w:rPr>
          <w:rFonts w:eastAsia="方正仿宋_GBK"/>
          <w:color w:val="auto"/>
          <w:sz w:val="30"/>
          <w:szCs w:val="30"/>
          <w:highlight w:val="none"/>
        </w:rPr>
        <w:t>大尖山、花椒园等森林公园和双柏九天</w:t>
      </w:r>
      <w:r>
        <w:rPr>
          <w:rFonts w:hint="eastAsia" w:eastAsia="方正仿宋_GBK"/>
          <w:color w:val="auto"/>
          <w:sz w:val="30"/>
          <w:szCs w:val="30"/>
          <w:highlight w:val="none"/>
        </w:rPr>
        <w:t>地方</w:t>
      </w:r>
      <w:r>
        <w:rPr>
          <w:rFonts w:eastAsia="方正仿宋_GBK"/>
          <w:color w:val="auto"/>
          <w:sz w:val="30"/>
          <w:szCs w:val="30"/>
          <w:highlight w:val="none"/>
        </w:rPr>
        <w:t>级湿地公园开展森林、湿地功能修复治理。</w:t>
      </w:r>
    </w:p>
    <w:p w14:paraId="017EBA91">
      <w:pPr>
        <w:ind w:firstLine="600"/>
        <w:rPr>
          <w:rFonts w:eastAsia="方正仿宋_GBK"/>
          <w:color w:val="auto"/>
          <w:sz w:val="30"/>
          <w:szCs w:val="30"/>
          <w:highlight w:val="none"/>
        </w:rPr>
      </w:pPr>
      <w:r>
        <w:rPr>
          <w:rFonts w:ascii="方正楷体_GBK" w:eastAsia="方正楷体_GBK"/>
          <w:color w:val="auto"/>
          <w:sz w:val="30"/>
          <w:szCs w:val="30"/>
          <w:highlight w:val="none"/>
        </w:rPr>
        <w:t>系统开展水土流失综合防治。</w:t>
      </w:r>
      <w:r>
        <w:rPr>
          <w:rFonts w:eastAsia="方正仿宋_GBK"/>
          <w:color w:val="auto"/>
          <w:sz w:val="30"/>
          <w:szCs w:val="30"/>
          <w:highlight w:val="none"/>
        </w:rPr>
        <w:t>针对水土流失等土地退化问题，综合运用土地整治、土壤改良、植被恢复、生物修复、保护性耕种、封山育林等措施，重点对元江流域、金沙江流域开展水土流失综合防治，保护自然生境和生物群落，恢复自然生态系统，实现土地资源安全永续利用。</w:t>
      </w:r>
    </w:p>
    <w:p w14:paraId="75C80C49">
      <w:pPr>
        <w:ind w:firstLine="600"/>
        <w:rPr>
          <w:rFonts w:eastAsia="方正仿宋_GBK"/>
          <w:color w:val="auto"/>
          <w:sz w:val="30"/>
          <w:szCs w:val="30"/>
          <w:highlight w:val="none"/>
        </w:rPr>
      </w:pPr>
      <w:r>
        <w:rPr>
          <w:rFonts w:ascii="方正楷体_GBK" w:eastAsia="方正楷体_GBK"/>
          <w:color w:val="auto"/>
          <w:sz w:val="30"/>
          <w:szCs w:val="30"/>
          <w:highlight w:val="none"/>
        </w:rPr>
        <w:t>系统治理江河湖库水系，修复水生态环境。</w:t>
      </w:r>
      <w:r>
        <w:rPr>
          <w:rFonts w:eastAsia="方正仿宋_GBK"/>
          <w:color w:val="auto"/>
          <w:sz w:val="30"/>
          <w:szCs w:val="30"/>
          <w:highlight w:val="none"/>
        </w:rPr>
        <w:t>针对流域防洪能力差、水量减少、水系不连通、水质不达标、水生态功能下降等问题，落实</w:t>
      </w:r>
      <w:r>
        <w:rPr>
          <w:rFonts w:hint="eastAsia" w:eastAsia="方正仿宋_GBK"/>
          <w:color w:val="auto"/>
          <w:sz w:val="30"/>
          <w:szCs w:val="30"/>
          <w:highlight w:val="none"/>
        </w:rPr>
        <w:t>“</w:t>
      </w:r>
      <w:r>
        <w:rPr>
          <w:rFonts w:eastAsia="方正仿宋_GBK"/>
          <w:color w:val="auto"/>
          <w:sz w:val="30"/>
          <w:szCs w:val="30"/>
          <w:highlight w:val="none"/>
        </w:rPr>
        <w:t>河长制</w:t>
      </w:r>
      <w:r>
        <w:rPr>
          <w:rFonts w:hint="eastAsia" w:eastAsia="方正仿宋_GBK"/>
          <w:color w:val="auto"/>
          <w:sz w:val="30"/>
          <w:szCs w:val="30"/>
          <w:highlight w:val="none"/>
        </w:rPr>
        <w:t>”“</w:t>
      </w:r>
      <w:r>
        <w:rPr>
          <w:rFonts w:eastAsia="方正仿宋_GBK"/>
          <w:color w:val="auto"/>
          <w:sz w:val="30"/>
          <w:szCs w:val="30"/>
          <w:highlight w:val="none"/>
        </w:rPr>
        <w:t>湖长制</w:t>
      </w:r>
      <w:r>
        <w:rPr>
          <w:rFonts w:hint="eastAsia" w:eastAsia="方正仿宋_GBK"/>
          <w:color w:val="auto"/>
          <w:sz w:val="30"/>
          <w:szCs w:val="30"/>
          <w:highlight w:val="none"/>
        </w:rPr>
        <w:t>”</w:t>
      </w:r>
      <w:r>
        <w:rPr>
          <w:rFonts w:eastAsia="方正仿宋_GBK"/>
          <w:color w:val="auto"/>
          <w:sz w:val="30"/>
          <w:szCs w:val="30"/>
          <w:highlight w:val="none"/>
        </w:rPr>
        <w:t>，强化源头控制、系统修复、综合治理。重点对金沙江、礼社江、龙川江、绿汁江等重点流域进行修复治理。</w:t>
      </w:r>
    </w:p>
    <w:p w14:paraId="168C54E5">
      <w:pPr>
        <w:pStyle w:val="6"/>
        <w:rPr>
          <w:color w:val="auto"/>
          <w:highlight w:val="none"/>
        </w:rPr>
      </w:pPr>
      <w:bookmarkStart w:id="173" w:name="_Toc73374965"/>
      <w:bookmarkStart w:id="174" w:name="_Toc73380379"/>
      <w:bookmarkStart w:id="175" w:name="_Toc73374568"/>
      <w:bookmarkStart w:id="176" w:name="_Toc61533644"/>
      <w:r>
        <w:rPr>
          <w:color w:val="auto"/>
          <w:highlight w:val="none"/>
        </w:rPr>
        <w:t>二、推进生物多样性薄弱区修复</w:t>
      </w:r>
      <w:bookmarkEnd w:id="173"/>
      <w:bookmarkEnd w:id="174"/>
      <w:bookmarkEnd w:id="175"/>
      <w:bookmarkEnd w:id="176"/>
    </w:p>
    <w:p w14:paraId="20A18453">
      <w:pPr>
        <w:ind w:firstLine="600"/>
        <w:rPr>
          <w:rFonts w:eastAsia="方正仿宋_GBK"/>
          <w:color w:val="auto"/>
          <w:sz w:val="30"/>
          <w:szCs w:val="30"/>
          <w:highlight w:val="none"/>
        </w:rPr>
      </w:pPr>
      <w:r>
        <w:rPr>
          <w:rFonts w:hint="eastAsia" w:eastAsia="方正仿宋_GBK"/>
          <w:color w:val="auto"/>
          <w:sz w:val="30"/>
          <w:szCs w:val="30"/>
          <w:highlight w:val="none"/>
        </w:rPr>
        <w:t>针对特殊保护生物物种减少、生物多样性下降、外来物种入侵等问题，按照生物多样性保护、自然保护区的要求，加快对珍稀濒危动植物栖息地区域的生态保护和修复，修建生态廊道，营造良好的生物栖息环境。重点对南部哀牢山生态屏障、北部生态屏障、西部生物多样性保护廊道、</w:t>
      </w:r>
      <w:r>
        <w:rPr>
          <w:rFonts w:eastAsia="方正仿宋_GBK"/>
          <w:color w:val="auto"/>
          <w:sz w:val="30"/>
          <w:szCs w:val="30"/>
          <w:highlight w:val="none"/>
        </w:rPr>
        <w:t>2</w:t>
      </w:r>
      <w:r>
        <w:rPr>
          <w:rFonts w:hint="eastAsia" w:eastAsia="方正仿宋_GBK"/>
          <w:color w:val="auto"/>
          <w:sz w:val="30"/>
          <w:szCs w:val="30"/>
          <w:highlight w:val="none"/>
        </w:rPr>
        <w:t>1个自然保护地以及生态保护红线内的濒危、重点野生动植物物种及其生境实施特殊保护，实现自然生态系统的整体性保护和重要物种栖息地的严格保护。</w:t>
      </w:r>
    </w:p>
    <w:p w14:paraId="6F5E214B">
      <w:pPr>
        <w:ind w:firstLine="600"/>
        <w:rPr>
          <w:rFonts w:eastAsia="方正仿宋_GBK"/>
          <w:color w:val="auto"/>
          <w:sz w:val="30"/>
          <w:szCs w:val="30"/>
          <w:highlight w:val="none"/>
        </w:rPr>
      </w:pPr>
      <w:r>
        <w:rPr>
          <w:rFonts w:hint="eastAsia" w:eastAsia="方正仿宋_GBK"/>
          <w:color w:val="auto"/>
          <w:sz w:val="30"/>
          <w:szCs w:val="30"/>
          <w:highlight w:val="none"/>
        </w:rPr>
        <w:t>加强外来物种入侵的防治，对扩散途径、应对措施和开发利用途径研究，建立外来入侵物种监测预警及风险管理机制，积极防治外来物种入侵。</w:t>
      </w:r>
    </w:p>
    <w:p w14:paraId="09301C7B">
      <w:pPr>
        <w:pStyle w:val="6"/>
        <w:rPr>
          <w:color w:val="auto"/>
          <w:highlight w:val="none"/>
        </w:rPr>
      </w:pPr>
      <w:bookmarkStart w:id="177" w:name="_Toc61533646"/>
      <w:bookmarkStart w:id="178" w:name="_Toc73380381"/>
      <w:bookmarkStart w:id="179" w:name="_Toc73374570"/>
      <w:bookmarkStart w:id="180" w:name="_Toc73374967"/>
      <w:r>
        <w:rPr>
          <w:color w:val="auto"/>
          <w:highlight w:val="none"/>
        </w:rPr>
        <w:t>三、加强矿山生态修复</w:t>
      </w:r>
      <w:bookmarkEnd w:id="177"/>
      <w:bookmarkEnd w:id="178"/>
      <w:bookmarkEnd w:id="179"/>
      <w:bookmarkEnd w:id="180"/>
    </w:p>
    <w:p w14:paraId="15C15342">
      <w:pPr>
        <w:ind w:firstLine="600"/>
        <w:rPr>
          <w:rFonts w:eastAsia="方正仿宋_GBK"/>
          <w:color w:val="auto"/>
          <w:sz w:val="30"/>
          <w:szCs w:val="30"/>
          <w:highlight w:val="none"/>
        </w:rPr>
      </w:pPr>
      <w:r>
        <w:rPr>
          <w:rFonts w:eastAsia="方正仿宋_GBK"/>
          <w:color w:val="auto"/>
          <w:sz w:val="30"/>
          <w:szCs w:val="30"/>
          <w:highlight w:val="none"/>
        </w:rPr>
        <w:t>遵循宜耕则耕、宜林则林、宜草则草、宜湿则湿、宜建则建的原则，采取地貌重塑、土壤重构、植被重建、景观再现、生物多样性重组等措施，统筹推进历史遗留矿山和生产矿山的生态保护修复，恢复和提升矿区生态功能，实现资源可持续利用。</w:t>
      </w:r>
    </w:p>
    <w:p w14:paraId="34A3C3C6">
      <w:pPr>
        <w:ind w:firstLine="600"/>
        <w:rPr>
          <w:rFonts w:eastAsia="方正仿宋_GBK"/>
          <w:color w:val="auto"/>
          <w:sz w:val="30"/>
          <w:szCs w:val="30"/>
          <w:highlight w:val="none"/>
        </w:rPr>
      </w:pPr>
      <w:r>
        <w:rPr>
          <w:rFonts w:eastAsia="方正仿宋_GBK"/>
          <w:color w:val="auto"/>
          <w:sz w:val="30"/>
          <w:szCs w:val="30"/>
          <w:highlight w:val="none"/>
        </w:rPr>
        <w:t>按照</w:t>
      </w:r>
      <w:r>
        <w:rPr>
          <w:rFonts w:hint="eastAsia" w:eastAsia="方正仿宋_GBK"/>
          <w:color w:val="auto"/>
          <w:sz w:val="30"/>
          <w:szCs w:val="30"/>
          <w:highlight w:val="none"/>
        </w:rPr>
        <w:t>“</w:t>
      </w:r>
      <w:r>
        <w:rPr>
          <w:rFonts w:eastAsia="方正仿宋_GBK"/>
          <w:color w:val="auto"/>
          <w:sz w:val="30"/>
          <w:szCs w:val="30"/>
          <w:highlight w:val="none"/>
        </w:rPr>
        <w:t>保障安全、恢复生态兼顾景观</w:t>
      </w:r>
      <w:r>
        <w:rPr>
          <w:rFonts w:hint="eastAsia" w:eastAsia="方正仿宋_GBK"/>
          <w:color w:val="auto"/>
          <w:sz w:val="30"/>
          <w:szCs w:val="30"/>
          <w:highlight w:val="none"/>
        </w:rPr>
        <w:t>”</w:t>
      </w:r>
      <w:r>
        <w:rPr>
          <w:rFonts w:eastAsia="方正仿宋_GBK"/>
          <w:color w:val="auto"/>
          <w:sz w:val="30"/>
          <w:szCs w:val="30"/>
          <w:highlight w:val="none"/>
        </w:rPr>
        <w:t>的要求，</w:t>
      </w:r>
      <w:r>
        <w:rPr>
          <w:rFonts w:hint="eastAsia" w:eastAsia="方正仿宋_GBK"/>
          <w:color w:val="auto"/>
          <w:sz w:val="30"/>
          <w:szCs w:val="30"/>
          <w:highlight w:val="none"/>
        </w:rPr>
        <w:t>以</w:t>
      </w:r>
      <w:r>
        <w:rPr>
          <w:rFonts w:eastAsia="方正仿宋_GBK"/>
          <w:color w:val="auto"/>
          <w:sz w:val="30"/>
          <w:szCs w:val="30"/>
          <w:highlight w:val="none"/>
        </w:rPr>
        <w:t>自然修复为主，工程治理为辅的原则，制定</w:t>
      </w:r>
      <w:r>
        <w:rPr>
          <w:rFonts w:hint="eastAsia" w:eastAsia="方正仿宋_GBK"/>
          <w:color w:val="auto"/>
          <w:sz w:val="30"/>
          <w:szCs w:val="30"/>
          <w:highlight w:val="none"/>
        </w:rPr>
        <w:t>“</w:t>
      </w:r>
      <w:r>
        <w:rPr>
          <w:rFonts w:eastAsia="方正仿宋_GBK"/>
          <w:color w:val="auto"/>
          <w:sz w:val="30"/>
          <w:szCs w:val="30"/>
          <w:highlight w:val="none"/>
        </w:rPr>
        <w:t>一矿一策</w:t>
      </w:r>
      <w:r>
        <w:rPr>
          <w:rFonts w:hint="eastAsia" w:eastAsia="方正仿宋_GBK"/>
          <w:color w:val="auto"/>
          <w:sz w:val="30"/>
          <w:szCs w:val="30"/>
          <w:highlight w:val="none"/>
        </w:rPr>
        <w:t>”</w:t>
      </w:r>
      <w:r>
        <w:rPr>
          <w:rFonts w:eastAsia="方正仿宋_GBK"/>
          <w:color w:val="auto"/>
          <w:sz w:val="30"/>
          <w:szCs w:val="30"/>
          <w:highlight w:val="none"/>
        </w:rPr>
        <w:t>修复档案和生态修复方案，开展历史遗留矿山综合治理，选取原牟定铜矿矿区、牟定</w:t>
      </w:r>
      <w:r>
        <w:rPr>
          <w:rFonts w:hint="eastAsia" w:eastAsia="方正仿宋_GBK"/>
          <w:color w:val="auto"/>
          <w:sz w:val="30"/>
          <w:szCs w:val="30"/>
          <w:highlight w:val="none"/>
        </w:rPr>
        <w:t>－</w:t>
      </w:r>
      <w:r>
        <w:rPr>
          <w:rFonts w:eastAsia="方正仿宋_GBK"/>
          <w:color w:val="auto"/>
          <w:sz w:val="30"/>
          <w:szCs w:val="30"/>
          <w:highlight w:val="none"/>
        </w:rPr>
        <w:t>新田铁矿矿区、元谋</w:t>
      </w:r>
      <w:r>
        <w:rPr>
          <w:rFonts w:hint="eastAsia" w:eastAsia="方正仿宋_GBK"/>
          <w:color w:val="auto"/>
          <w:sz w:val="30"/>
          <w:szCs w:val="30"/>
          <w:highlight w:val="none"/>
        </w:rPr>
        <w:t>－</w:t>
      </w:r>
      <w:r>
        <w:rPr>
          <w:rFonts w:eastAsia="方正仿宋_GBK"/>
          <w:color w:val="auto"/>
          <w:sz w:val="30"/>
          <w:szCs w:val="30"/>
          <w:highlight w:val="none"/>
        </w:rPr>
        <w:t>牟定铜区、禄丰一平浪煤矿区、永仁</w:t>
      </w:r>
      <w:r>
        <w:rPr>
          <w:rFonts w:hint="eastAsia" w:eastAsia="方正仿宋_GBK"/>
          <w:color w:val="auto"/>
          <w:sz w:val="30"/>
          <w:szCs w:val="30"/>
          <w:highlight w:val="none"/>
        </w:rPr>
        <w:t>－</w:t>
      </w:r>
      <w:r>
        <w:rPr>
          <w:rFonts w:eastAsia="方正仿宋_GBK"/>
          <w:color w:val="auto"/>
          <w:sz w:val="30"/>
          <w:szCs w:val="30"/>
          <w:highlight w:val="none"/>
        </w:rPr>
        <w:t>大姚铜矿区、禄劝</w:t>
      </w:r>
      <w:r>
        <w:rPr>
          <w:rFonts w:hint="eastAsia" w:eastAsia="方正仿宋_GBK"/>
          <w:color w:val="auto"/>
          <w:sz w:val="30"/>
          <w:szCs w:val="30"/>
          <w:highlight w:val="none"/>
        </w:rPr>
        <w:t>－</w:t>
      </w:r>
      <w:r>
        <w:rPr>
          <w:rFonts w:eastAsia="方正仿宋_GBK"/>
          <w:color w:val="auto"/>
          <w:sz w:val="30"/>
          <w:szCs w:val="30"/>
          <w:highlight w:val="none"/>
        </w:rPr>
        <w:t>武定钛铁铜多金属矿区和楚雄市三街</w:t>
      </w:r>
      <w:r>
        <w:rPr>
          <w:rFonts w:hint="eastAsia" w:eastAsia="方正仿宋_GBK"/>
          <w:color w:val="auto"/>
          <w:sz w:val="30"/>
          <w:szCs w:val="30"/>
          <w:highlight w:val="none"/>
        </w:rPr>
        <w:t>－</w:t>
      </w:r>
      <w:r>
        <w:rPr>
          <w:rFonts w:eastAsia="方正仿宋_GBK"/>
          <w:color w:val="auto"/>
          <w:sz w:val="30"/>
          <w:szCs w:val="30"/>
          <w:highlight w:val="none"/>
        </w:rPr>
        <w:t>马街铜铅锌多金属矿区等区域作为矿山生态修复的重点区域。至2035年，修复历史遗留露天矿山34</w:t>
      </w:r>
      <w:r>
        <w:rPr>
          <w:rFonts w:hint="eastAsia" w:eastAsia="方正仿宋_GBK"/>
          <w:color w:val="auto"/>
          <w:sz w:val="30"/>
          <w:szCs w:val="30"/>
          <w:highlight w:val="none"/>
        </w:rPr>
        <w:t>5</w:t>
      </w:r>
      <w:r>
        <w:rPr>
          <w:rFonts w:eastAsia="方正仿宋_GBK"/>
          <w:color w:val="auto"/>
          <w:sz w:val="30"/>
          <w:szCs w:val="30"/>
          <w:highlight w:val="none"/>
        </w:rPr>
        <w:t>处，完成全州历史遗留矿山生态修复工作，共修复矿山损毁土地12</w:t>
      </w:r>
      <w:r>
        <w:rPr>
          <w:rFonts w:hint="eastAsia" w:eastAsia="方正仿宋_GBK"/>
          <w:color w:val="auto"/>
          <w:sz w:val="30"/>
          <w:szCs w:val="30"/>
          <w:highlight w:val="none"/>
        </w:rPr>
        <w:t>14.93</w:t>
      </w:r>
      <w:r>
        <w:rPr>
          <w:rFonts w:eastAsia="方正仿宋_GBK"/>
          <w:color w:val="auto"/>
          <w:sz w:val="30"/>
          <w:szCs w:val="30"/>
          <w:highlight w:val="none"/>
        </w:rPr>
        <w:t>公顷。</w:t>
      </w:r>
    </w:p>
    <w:p w14:paraId="099A50A2">
      <w:pPr>
        <w:ind w:firstLine="600"/>
        <w:rPr>
          <w:rFonts w:eastAsia="方正仿宋_GBK"/>
          <w:color w:val="auto"/>
          <w:sz w:val="30"/>
          <w:szCs w:val="30"/>
          <w:highlight w:val="none"/>
        </w:rPr>
      </w:pPr>
      <w:r>
        <w:rPr>
          <w:rFonts w:eastAsia="方正仿宋_GBK"/>
          <w:color w:val="auto"/>
          <w:sz w:val="30"/>
          <w:szCs w:val="30"/>
          <w:highlight w:val="none"/>
        </w:rPr>
        <w:t>坚持源头严控、过程严管、末端修复，严格落实矿产资源开发、地质环境恢复治理与土地复垦统一规划、统一设计、同步实施的要求，推动绿色矿山建设。</w:t>
      </w:r>
    </w:p>
    <w:p w14:paraId="00141831">
      <w:pPr>
        <w:pStyle w:val="6"/>
        <w:rPr>
          <w:color w:val="auto"/>
          <w:highlight w:val="none"/>
        </w:rPr>
      </w:pPr>
      <w:r>
        <w:rPr>
          <w:color w:val="auto"/>
          <w:highlight w:val="none"/>
        </w:rPr>
        <w:t>四、科学开展国土绿化行动</w:t>
      </w:r>
    </w:p>
    <w:p w14:paraId="312EAA21">
      <w:pPr>
        <w:ind w:firstLine="600"/>
        <w:rPr>
          <w:color w:val="auto"/>
          <w:highlight w:val="none"/>
        </w:rPr>
        <w:sectPr>
          <w:pgSz w:w="11906" w:h="16838"/>
          <w:pgMar w:top="2041" w:right="1644" w:bottom="1871" w:left="1644" w:header="851" w:footer="992" w:gutter="0"/>
          <w:cols w:space="425" w:num="1"/>
          <w:docGrid w:type="linesAndChars" w:linePitch="312" w:charSpace="0"/>
        </w:sectPr>
      </w:pPr>
      <w:r>
        <w:rPr>
          <w:rFonts w:eastAsia="方正仿宋_GBK"/>
          <w:color w:val="auto"/>
          <w:sz w:val="30"/>
          <w:szCs w:val="30"/>
          <w:highlight w:val="none"/>
        </w:rPr>
        <w:t>全面推行林长制，持续推进森林楚雄建设和大规模国土绿化行动，开展</w:t>
      </w:r>
      <w:r>
        <w:rPr>
          <w:rFonts w:hint="eastAsia" w:eastAsia="方正仿宋_GBK"/>
          <w:color w:val="auto"/>
          <w:sz w:val="30"/>
          <w:szCs w:val="30"/>
          <w:highlight w:val="none"/>
        </w:rPr>
        <w:t>“</w:t>
      </w:r>
      <w:r>
        <w:rPr>
          <w:rFonts w:eastAsia="方正仿宋_GBK"/>
          <w:color w:val="auto"/>
          <w:sz w:val="30"/>
          <w:szCs w:val="30"/>
          <w:highlight w:val="none"/>
        </w:rPr>
        <w:t>互联网+全民义务植树</w:t>
      </w:r>
      <w:r>
        <w:rPr>
          <w:rFonts w:hint="eastAsia" w:eastAsia="方正仿宋_GBK"/>
          <w:color w:val="auto"/>
          <w:sz w:val="30"/>
          <w:szCs w:val="30"/>
          <w:highlight w:val="none"/>
        </w:rPr>
        <w:t>”</w:t>
      </w:r>
      <w:r>
        <w:rPr>
          <w:rFonts w:eastAsia="方正仿宋_GBK"/>
          <w:color w:val="auto"/>
          <w:sz w:val="30"/>
          <w:szCs w:val="30"/>
          <w:highlight w:val="none"/>
        </w:rPr>
        <w:t>。强化公益林管理，深入推进天然林保护修复、防护林建设等工程，统筹划定造林绿化空间，加快国家储备林建设，稳定提高森林覆盖率。实施森林分类经营，加强</w:t>
      </w:r>
      <w:r>
        <w:rPr>
          <w:rFonts w:hint="eastAsia" w:eastAsia="方正仿宋_GBK"/>
          <w:color w:val="auto"/>
          <w:sz w:val="30"/>
          <w:szCs w:val="30"/>
          <w:highlight w:val="none"/>
          <w:lang w:eastAsia="zh-CN"/>
        </w:rPr>
        <w:t>低产低效林改造</w:t>
      </w:r>
      <w:r>
        <w:rPr>
          <w:rFonts w:eastAsia="方正仿宋_GBK"/>
          <w:color w:val="auto"/>
          <w:sz w:val="30"/>
          <w:szCs w:val="30"/>
          <w:highlight w:val="none"/>
        </w:rPr>
        <w:t>，精准提升森林资源质量，推进大姚县、永仁县、元谋县、武定县长江经济带干流绿色生态廊道质量提升工程。持续开展沿高速公路、河湖岸线、集镇主次干道等</w:t>
      </w:r>
      <w:r>
        <w:rPr>
          <w:rFonts w:hint="eastAsia" w:eastAsia="方正仿宋_GBK"/>
          <w:color w:val="auto"/>
          <w:sz w:val="30"/>
          <w:szCs w:val="30"/>
          <w:highlight w:val="none"/>
        </w:rPr>
        <w:t>“</w:t>
      </w:r>
      <w:r>
        <w:rPr>
          <w:rFonts w:eastAsia="方正仿宋_GBK"/>
          <w:color w:val="auto"/>
          <w:sz w:val="30"/>
          <w:szCs w:val="30"/>
          <w:highlight w:val="none"/>
        </w:rPr>
        <w:t>三沿</w:t>
      </w:r>
      <w:r>
        <w:rPr>
          <w:rFonts w:hint="eastAsia" w:eastAsia="方正仿宋_GBK"/>
          <w:color w:val="auto"/>
          <w:sz w:val="30"/>
          <w:szCs w:val="30"/>
          <w:highlight w:val="none"/>
        </w:rPr>
        <w:t>”</w:t>
      </w:r>
      <w:r>
        <w:rPr>
          <w:rFonts w:eastAsia="方正仿宋_GBK"/>
          <w:color w:val="auto"/>
          <w:sz w:val="30"/>
          <w:szCs w:val="30"/>
          <w:highlight w:val="none"/>
        </w:rPr>
        <w:t>绿化行动。推进荒漠化、水土流失综合治理，加强地质灾害防治。开展森林草地资源监测评价，加强林草灾害防控，强化火源管控和监督检查，推进林草有害生物监测预警、检疫防灾。</w:t>
      </w:r>
      <w:r>
        <w:rPr>
          <w:rFonts w:hint="eastAsia" w:eastAsia="方正仿宋_GBK"/>
          <w:color w:val="auto"/>
          <w:sz w:val="30"/>
          <w:szCs w:val="30"/>
          <w:highlight w:val="none"/>
        </w:rPr>
        <w:t>到2035年，在宜林区域科学划定林地后备资源补充空间，楚雄州共划定林地后备资源补充空间35.0374万亩，主要位于南部哀牢山和北部百草岭区域，确保全州森林覆盖率不低于上级下达指标。</w:t>
      </w:r>
    </w:p>
    <w:p w14:paraId="3ABF329A">
      <w:pPr>
        <w:pStyle w:val="63"/>
        <w:rPr>
          <w:color w:val="auto"/>
          <w:highlight w:val="none"/>
        </w:rPr>
      </w:pPr>
      <w:bookmarkStart w:id="181" w:name="_Toc131433337"/>
      <w:bookmarkStart w:id="182" w:name="_Toc19410"/>
      <w:bookmarkStart w:id="183" w:name="_Toc131433171"/>
      <w:bookmarkStart w:id="184" w:name="_Toc184639389"/>
      <w:bookmarkStart w:id="185" w:name="_Toc10545"/>
      <w:r>
        <w:rPr>
          <w:color w:val="auto"/>
          <w:highlight w:val="none"/>
        </w:rPr>
        <w:t>第</w:t>
      </w:r>
      <w:r>
        <w:rPr>
          <w:rFonts w:hint="eastAsia"/>
          <w:color w:val="auto"/>
          <w:highlight w:val="none"/>
        </w:rPr>
        <w:t>六</w:t>
      </w:r>
      <w:r>
        <w:rPr>
          <w:color w:val="auto"/>
          <w:highlight w:val="none"/>
        </w:rPr>
        <w:t>章 强化协作联动，打造品质宜居城镇空间</w:t>
      </w:r>
      <w:bookmarkEnd w:id="181"/>
      <w:bookmarkEnd w:id="182"/>
      <w:bookmarkEnd w:id="183"/>
      <w:bookmarkEnd w:id="184"/>
      <w:bookmarkEnd w:id="185"/>
    </w:p>
    <w:p w14:paraId="54051263">
      <w:pPr>
        <w:pStyle w:val="5"/>
        <w:rPr>
          <w:rFonts w:eastAsia="方正黑体简体"/>
          <w:color w:val="auto"/>
          <w:highlight w:val="none"/>
        </w:rPr>
      </w:pPr>
      <w:bookmarkStart w:id="186" w:name="_Toc5958"/>
      <w:bookmarkStart w:id="187" w:name="_Toc184639390"/>
      <w:bookmarkStart w:id="188" w:name="_Toc18838"/>
      <w:bookmarkStart w:id="189" w:name="_Toc131433338"/>
      <w:bookmarkStart w:id="190" w:name="_Toc131433172"/>
      <w:r>
        <w:rPr>
          <w:color w:val="auto"/>
          <w:highlight w:val="none"/>
        </w:rPr>
        <w:t>第一节</w:t>
      </w:r>
      <w:bookmarkEnd w:id="186"/>
      <w:r>
        <w:rPr>
          <w:rFonts w:eastAsia="方正黑体简体"/>
          <w:color w:val="auto"/>
          <w:highlight w:val="none"/>
        </w:rPr>
        <w:t xml:space="preserve"> </w:t>
      </w:r>
      <w:r>
        <w:rPr>
          <w:color w:val="auto"/>
          <w:highlight w:val="none"/>
        </w:rPr>
        <w:t>构建协调有序的城镇体系</w:t>
      </w:r>
      <w:bookmarkEnd w:id="187"/>
      <w:bookmarkEnd w:id="188"/>
      <w:bookmarkEnd w:id="189"/>
      <w:bookmarkEnd w:id="190"/>
    </w:p>
    <w:p w14:paraId="619F5500">
      <w:pPr>
        <w:pStyle w:val="6"/>
        <w:rPr>
          <w:color w:val="auto"/>
          <w:highlight w:val="none"/>
        </w:rPr>
      </w:pPr>
      <w:r>
        <w:rPr>
          <w:color w:val="auto"/>
          <w:highlight w:val="none"/>
        </w:rPr>
        <w:t>一、特色城镇化路径</w:t>
      </w:r>
    </w:p>
    <w:p w14:paraId="388CD690">
      <w:pPr>
        <w:ind w:firstLine="600"/>
        <w:rPr>
          <w:rFonts w:eastAsia="方正仿宋_GBK"/>
          <w:color w:val="auto"/>
          <w:sz w:val="30"/>
          <w:szCs w:val="30"/>
          <w:highlight w:val="none"/>
        </w:rPr>
      </w:pPr>
      <w:r>
        <w:rPr>
          <w:rFonts w:eastAsia="方正仿宋_GBK"/>
          <w:color w:val="auto"/>
          <w:sz w:val="30"/>
          <w:szCs w:val="30"/>
          <w:highlight w:val="none"/>
        </w:rPr>
        <w:t>强化</w:t>
      </w:r>
      <w:r>
        <w:rPr>
          <w:rFonts w:hint="eastAsia" w:eastAsia="方正仿宋_GBK"/>
          <w:color w:val="auto"/>
          <w:sz w:val="30"/>
          <w:szCs w:val="30"/>
          <w:highlight w:val="none"/>
        </w:rPr>
        <w:t>“</w:t>
      </w:r>
      <w:r>
        <w:rPr>
          <w:rFonts w:eastAsia="方正仿宋_GBK"/>
          <w:color w:val="auto"/>
          <w:sz w:val="30"/>
          <w:szCs w:val="30"/>
          <w:highlight w:val="none"/>
        </w:rPr>
        <w:t>接轨昆明、双核驱动、多点支撑、一体发展</w:t>
      </w:r>
      <w:r>
        <w:rPr>
          <w:rFonts w:hint="eastAsia" w:eastAsia="方正仿宋_GBK"/>
          <w:color w:val="auto"/>
          <w:sz w:val="30"/>
          <w:szCs w:val="30"/>
          <w:highlight w:val="none"/>
        </w:rPr>
        <w:t>”</w:t>
      </w:r>
      <w:r>
        <w:rPr>
          <w:rFonts w:eastAsia="方正仿宋_GBK"/>
          <w:color w:val="auto"/>
          <w:sz w:val="30"/>
          <w:szCs w:val="30"/>
          <w:highlight w:val="none"/>
        </w:rPr>
        <w:t>的特色城镇化路径，支撑以人为核心的新型城镇化。</w:t>
      </w:r>
    </w:p>
    <w:p w14:paraId="0E102BEE">
      <w:pPr>
        <w:ind w:firstLine="600"/>
        <w:rPr>
          <w:color w:val="auto"/>
          <w:sz w:val="30"/>
          <w:szCs w:val="30"/>
          <w:highlight w:val="none"/>
        </w:rPr>
      </w:pPr>
      <w:r>
        <w:rPr>
          <w:rFonts w:hint="eastAsia" w:ascii="方正楷体_GBK" w:eastAsia="方正楷体_GBK"/>
          <w:color w:val="auto"/>
          <w:sz w:val="30"/>
          <w:szCs w:val="30"/>
          <w:highlight w:val="none"/>
        </w:rPr>
        <w:t>接轨昆明。</w:t>
      </w:r>
      <w:r>
        <w:rPr>
          <w:rFonts w:hint="eastAsia" w:eastAsia="方正仿宋_GBK"/>
          <w:color w:val="auto"/>
          <w:sz w:val="30"/>
          <w:szCs w:val="30"/>
          <w:highlight w:val="none"/>
        </w:rPr>
        <w:t>积极承接昆明产能和城市功能转移。以中心城市、县城和小城镇为重要节点，建设高品质城镇空间，完善基础设施配套，推动绿色发展。以楚雄高新区和禄丰、武定、牟定产业园为主要载体，承担楚雄州与昆明市及滇中城市群其他区域产业对接合作的重要功能，推进昆楚两地互补发展</w:t>
      </w:r>
      <w:r>
        <w:rPr>
          <w:rFonts w:eastAsia="方正仿宋_GBK"/>
          <w:color w:val="auto"/>
          <w:sz w:val="30"/>
          <w:szCs w:val="30"/>
          <w:highlight w:val="none"/>
        </w:rPr>
        <w:t>。</w:t>
      </w:r>
    </w:p>
    <w:p w14:paraId="1D72063B">
      <w:pPr>
        <w:ind w:firstLine="600"/>
        <w:rPr>
          <w:color w:val="auto"/>
          <w:sz w:val="30"/>
          <w:szCs w:val="30"/>
          <w:highlight w:val="none"/>
        </w:rPr>
      </w:pPr>
      <w:r>
        <w:rPr>
          <w:rFonts w:ascii="方正楷体_GBK" w:eastAsia="方正楷体_GBK"/>
          <w:color w:val="auto"/>
          <w:sz w:val="30"/>
          <w:szCs w:val="30"/>
          <w:highlight w:val="none"/>
        </w:rPr>
        <w:t>双核驱动。</w:t>
      </w:r>
      <w:r>
        <w:rPr>
          <w:rFonts w:hint="eastAsia" w:eastAsia="方正仿宋_GBK"/>
          <w:color w:val="auto"/>
          <w:sz w:val="30"/>
          <w:szCs w:val="30"/>
          <w:highlight w:val="none"/>
        </w:rPr>
        <w:t>推进楚雄、禄丰中心城市建设，加快形成推动全州高质量发展的“双核”，发挥其在吸纳人口、产业和城市高品质建设中的重要作用和对全州的辐射引领作用，加快融入滇中城市群一体化发展，打造面向南亚东南亚辐射中心核心支撑区</w:t>
      </w:r>
      <w:r>
        <w:rPr>
          <w:rFonts w:eastAsia="方正仿宋_GBK"/>
          <w:color w:val="auto"/>
          <w:sz w:val="30"/>
          <w:szCs w:val="30"/>
          <w:highlight w:val="none"/>
        </w:rPr>
        <w:t>。</w:t>
      </w:r>
    </w:p>
    <w:p w14:paraId="3A65C4D3">
      <w:pPr>
        <w:ind w:firstLine="600"/>
        <w:rPr>
          <w:color w:val="auto"/>
          <w:sz w:val="30"/>
          <w:szCs w:val="30"/>
          <w:highlight w:val="none"/>
        </w:rPr>
      </w:pPr>
      <w:r>
        <w:rPr>
          <w:rFonts w:ascii="方正楷体_GBK" w:eastAsia="方正楷体_GBK"/>
          <w:color w:val="auto"/>
          <w:sz w:val="30"/>
          <w:szCs w:val="30"/>
          <w:highlight w:val="none"/>
        </w:rPr>
        <w:t>多点支撑。</w:t>
      </w:r>
      <w:r>
        <w:rPr>
          <w:rFonts w:hint="eastAsia" w:eastAsia="方正仿宋_GBK"/>
          <w:color w:val="auto"/>
          <w:sz w:val="30"/>
          <w:szCs w:val="30"/>
          <w:highlight w:val="none"/>
        </w:rPr>
        <w:t>支撑县城为重要载体的城镇化建设，深入实施“百县千镇提质”工程，提升乡政府驻地的融合城乡的重要作用，突出县城、乡镇驻地的基础性节点功能，提高吸纳新增城镇人口、服务周边乡村地区人口的能力，推进就地就近城镇化</w:t>
      </w:r>
      <w:r>
        <w:rPr>
          <w:rFonts w:eastAsia="方正仿宋_GBK"/>
          <w:color w:val="auto"/>
          <w:sz w:val="30"/>
          <w:szCs w:val="30"/>
          <w:highlight w:val="none"/>
        </w:rPr>
        <w:t>。</w:t>
      </w:r>
    </w:p>
    <w:p w14:paraId="6D3C9FC0">
      <w:pPr>
        <w:ind w:firstLine="600"/>
        <w:rPr>
          <w:color w:val="auto"/>
          <w:sz w:val="30"/>
          <w:szCs w:val="30"/>
          <w:highlight w:val="none"/>
        </w:rPr>
      </w:pPr>
      <w:r>
        <w:rPr>
          <w:rFonts w:ascii="方正楷体_GBK" w:eastAsia="方正楷体_GBK"/>
          <w:color w:val="auto"/>
          <w:sz w:val="30"/>
          <w:szCs w:val="30"/>
          <w:highlight w:val="none"/>
        </w:rPr>
        <w:t>一体发展。</w:t>
      </w:r>
      <w:r>
        <w:rPr>
          <w:rFonts w:hint="eastAsia" w:eastAsia="方正仿宋_GBK"/>
          <w:color w:val="auto"/>
          <w:sz w:val="30"/>
          <w:szCs w:val="30"/>
          <w:highlight w:val="none"/>
        </w:rPr>
        <w:t>主动服务和融入国家、省重大区域战略，主动参与滇中城市群构建现代产业体系、完善互联互通的基础设施网络、共建生态宜居美丽环境、提升对外开放水平和健全一体化发展机制，加快州内一体、昆楚一体、滇中一体、与周边州市一体发展步伐</w:t>
      </w:r>
      <w:r>
        <w:rPr>
          <w:rFonts w:eastAsia="方正仿宋_GBK"/>
          <w:color w:val="auto"/>
          <w:sz w:val="30"/>
          <w:szCs w:val="30"/>
          <w:highlight w:val="none"/>
        </w:rPr>
        <w:t>。</w:t>
      </w:r>
    </w:p>
    <w:p w14:paraId="49C9856E">
      <w:pPr>
        <w:pStyle w:val="6"/>
        <w:rPr>
          <w:color w:val="auto"/>
          <w:highlight w:val="none"/>
        </w:rPr>
      </w:pPr>
      <w:r>
        <w:rPr>
          <w:color w:val="auto"/>
          <w:highlight w:val="none"/>
        </w:rPr>
        <w:t>二、</w:t>
      </w:r>
      <w:r>
        <w:rPr>
          <w:rFonts w:hint="eastAsia"/>
          <w:color w:val="auto"/>
          <w:highlight w:val="none"/>
        </w:rPr>
        <w:t>优化城镇体系</w:t>
      </w:r>
    </w:p>
    <w:p w14:paraId="5310B064">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（一）优化城镇等级结构</w:t>
      </w:r>
    </w:p>
    <w:p w14:paraId="424BC797">
      <w:pPr>
        <w:ind w:firstLine="600"/>
        <w:rPr>
          <w:color w:val="auto"/>
          <w:sz w:val="30"/>
          <w:szCs w:val="30"/>
          <w:highlight w:val="none"/>
        </w:rPr>
      </w:pPr>
      <w:r>
        <w:rPr>
          <w:rFonts w:ascii="方正楷体_GBK" w:eastAsia="方正楷体_GBK"/>
          <w:color w:val="auto"/>
          <w:sz w:val="30"/>
          <w:szCs w:val="30"/>
          <w:highlight w:val="none"/>
        </w:rPr>
        <w:t>建设</w:t>
      </w:r>
      <w:r>
        <w:rPr>
          <w:rFonts w:hint="eastAsia" w:ascii="方正楷体_GBK" w:eastAsia="方正楷体_GBK"/>
          <w:color w:val="auto"/>
          <w:sz w:val="30"/>
          <w:szCs w:val="30"/>
          <w:highlight w:val="none"/>
        </w:rPr>
        <w:t>“</w:t>
      </w:r>
      <w:r>
        <w:rPr>
          <w:rFonts w:ascii="方正楷体_GBK" w:eastAsia="方正楷体_GBK"/>
          <w:color w:val="auto"/>
          <w:sz w:val="30"/>
          <w:szCs w:val="30"/>
          <w:highlight w:val="none"/>
        </w:rPr>
        <w:t>一主一次</w:t>
      </w:r>
      <w:r>
        <w:rPr>
          <w:rFonts w:hint="eastAsia" w:ascii="方正楷体_GBK" w:eastAsia="方正楷体_GBK"/>
          <w:color w:val="auto"/>
          <w:sz w:val="30"/>
          <w:szCs w:val="30"/>
          <w:highlight w:val="none"/>
        </w:rPr>
        <w:t>”</w:t>
      </w:r>
      <w:r>
        <w:rPr>
          <w:rFonts w:ascii="方正楷体_GBK" w:eastAsia="方正楷体_GBK"/>
          <w:color w:val="auto"/>
          <w:sz w:val="30"/>
          <w:szCs w:val="30"/>
          <w:highlight w:val="none"/>
        </w:rPr>
        <w:t>州域中心城市。</w:t>
      </w:r>
      <w:r>
        <w:rPr>
          <w:rFonts w:hint="eastAsia" w:eastAsia="方正仿宋_GBK"/>
          <w:color w:val="auto"/>
          <w:sz w:val="30"/>
          <w:szCs w:val="30"/>
          <w:highlight w:val="none"/>
        </w:rPr>
        <w:t>推进楚雄现代化区域中心城市建设，强化其在全州乃至全省发展中的引领作用，打响“公园城市、康养城市”两大品牌，建设人民城市，为打造区域现代绿色制造中心、交通物流中心、商贸消费中心、科技人才中心、金融服务中心、文化旅游中心、教育体育中心、医疗康养中心、数字经济中心提供空间支撑。推进禄丰州域次中心城市建设，打响“世界恐龙乡、福禄生态城”两大品牌，为打造光伏核心区，绿色钛、智能数控装备智造园的主战场提供空间支撑</w:t>
      </w:r>
      <w:r>
        <w:rPr>
          <w:rFonts w:eastAsia="方正仿宋_GBK"/>
          <w:color w:val="auto"/>
          <w:sz w:val="30"/>
          <w:szCs w:val="30"/>
          <w:highlight w:val="none"/>
        </w:rPr>
        <w:t>。</w:t>
      </w:r>
    </w:p>
    <w:p w14:paraId="7034CED5">
      <w:pPr>
        <w:pStyle w:val="11"/>
        <w:rPr>
          <w:color w:val="auto"/>
          <w:highlight w:val="none"/>
        </w:rPr>
      </w:pPr>
      <w:r>
        <w:rPr>
          <w:color w:val="auto"/>
          <w:highlight w:val="none"/>
        </w:rPr>
        <w:t>专栏</w:t>
      </w:r>
      <w:r>
        <w:rPr>
          <w:rFonts w:hint="eastAsia"/>
          <w:color w:val="auto"/>
          <w:highlight w:val="none"/>
          <w:lang w:val="en-US" w:eastAsia="zh-CN"/>
        </w:rPr>
        <w:t>5</w:t>
      </w:r>
      <w:r>
        <w:rPr>
          <w:color w:val="auto"/>
          <w:highlight w:val="none"/>
        </w:rPr>
        <w:t xml:space="preserve">  </w:t>
      </w:r>
      <w:r>
        <w:rPr>
          <w:rFonts w:hint="eastAsia"/>
          <w:color w:val="auto"/>
          <w:highlight w:val="none"/>
          <w:lang w:val="en-US"/>
        </w:rPr>
        <w:t>中心城市</w:t>
      </w:r>
      <w:r>
        <w:rPr>
          <w:color w:val="auto"/>
          <w:highlight w:val="none"/>
        </w:rPr>
        <w:t>发展定位指引</w:t>
      </w:r>
    </w:p>
    <w:tbl>
      <w:tblPr>
        <w:tblStyle w:val="3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7945"/>
      </w:tblGrid>
      <w:tr w14:paraId="1DBC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blHeader/>
          <w:jc w:val="center"/>
        </w:trPr>
        <w:tc>
          <w:tcPr>
            <w:tcW w:w="1205" w:type="dxa"/>
            <w:vAlign w:val="center"/>
          </w:tcPr>
          <w:p w14:paraId="34EFBF8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w:t>
            </w:r>
          </w:p>
        </w:tc>
        <w:tc>
          <w:tcPr>
            <w:tcW w:w="7945" w:type="dxa"/>
            <w:vAlign w:val="center"/>
          </w:tcPr>
          <w:p w14:paraId="6C94A64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县城发展定位指引</w:t>
            </w:r>
          </w:p>
        </w:tc>
      </w:tr>
      <w:tr w14:paraId="138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5EDAF62F">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w:t>
            </w:r>
          </w:p>
        </w:tc>
        <w:tc>
          <w:tcPr>
            <w:tcW w:w="7945" w:type="dxa"/>
            <w:vAlign w:val="center"/>
          </w:tcPr>
          <w:p w14:paraId="1123552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面向南亚东南亚及印度洋通道上的重要节点城市，云南省新兴工业城市，滇中城市群现代化区域中心城市，科技教育创新之城，健康宜居公园城市</w:t>
            </w:r>
            <w:r>
              <w:rPr>
                <w:rFonts w:eastAsia="方正仿宋_GBK"/>
                <w:color w:val="auto"/>
                <w:sz w:val="24"/>
                <w:szCs w:val="24"/>
                <w:highlight w:val="none"/>
              </w:rPr>
              <w:t>。</w:t>
            </w:r>
          </w:p>
        </w:tc>
      </w:tr>
      <w:tr w14:paraId="5AF6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7E575C0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禄丰</w:t>
            </w:r>
          </w:p>
        </w:tc>
        <w:tc>
          <w:tcPr>
            <w:tcW w:w="7945" w:type="dxa"/>
            <w:vAlign w:val="center"/>
          </w:tcPr>
          <w:p w14:paraId="78727B7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世界恐龙之乡，云南光伏之都、绿色钛、绿色钒钛、装备制造产业重要承载地，滇中崛起重要节点，楚雄州发展“双引擎”之一。</w:t>
            </w:r>
          </w:p>
        </w:tc>
      </w:tr>
    </w:tbl>
    <w:p w14:paraId="3E4521D9">
      <w:pPr>
        <w:ind w:firstLine="600"/>
        <w:rPr>
          <w:color w:val="auto"/>
          <w:sz w:val="30"/>
          <w:szCs w:val="30"/>
          <w:highlight w:val="none"/>
        </w:rPr>
      </w:pPr>
      <w:r>
        <w:rPr>
          <w:rFonts w:ascii="方正楷体_GBK" w:eastAsia="方正楷体_GBK"/>
          <w:color w:val="auto"/>
          <w:sz w:val="30"/>
          <w:szCs w:val="30"/>
          <w:highlight w:val="none"/>
        </w:rPr>
        <w:t>建设健康美丽文明智慧幸福县城。</w:t>
      </w:r>
      <w:r>
        <w:rPr>
          <w:rFonts w:hint="eastAsia" w:eastAsia="方正仿宋_GBK"/>
          <w:color w:val="auto"/>
          <w:sz w:val="30"/>
          <w:szCs w:val="30"/>
          <w:highlight w:val="none"/>
        </w:rPr>
        <w:t>强化双柏、牟定、南华、姚安、大姚、永仁、元谋、武定8个县城的重要载体作用，尊重县城的发展规律，统筹县城生产、生活、生态、安全空间需要，因地制宜补齐县城短板弱项，促进县城产业配套设施提质增效、市政公用设施提档升级、公共服务设施提标扩面、环境基础设施提级扩能，增强县城综合承载能力，提升县城发展质量，更好满足农民到县城就业安家需求和县城居民生产生活需要</w:t>
      </w:r>
      <w:r>
        <w:rPr>
          <w:rFonts w:eastAsia="方正仿宋_GBK"/>
          <w:color w:val="auto"/>
          <w:sz w:val="30"/>
          <w:szCs w:val="30"/>
          <w:highlight w:val="none"/>
        </w:rPr>
        <w:t>。</w:t>
      </w:r>
    </w:p>
    <w:p w14:paraId="7D306063">
      <w:pPr>
        <w:pStyle w:val="11"/>
        <w:rPr>
          <w:color w:val="auto"/>
          <w:highlight w:val="none"/>
        </w:rPr>
      </w:pPr>
      <w:r>
        <w:rPr>
          <w:color w:val="auto"/>
          <w:highlight w:val="none"/>
        </w:rPr>
        <w:t>专栏</w:t>
      </w:r>
      <w:r>
        <w:rPr>
          <w:rFonts w:hint="eastAsia"/>
          <w:color w:val="auto"/>
          <w:highlight w:val="none"/>
          <w:lang w:val="en-US" w:eastAsia="zh-CN"/>
        </w:rPr>
        <w:t>6</w:t>
      </w:r>
      <w:r>
        <w:rPr>
          <w:color w:val="auto"/>
          <w:highlight w:val="none"/>
        </w:rPr>
        <w:t xml:space="preserve">  县城发展定位指引</w:t>
      </w:r>
    </w:p>
    <w:tbl>
      <w:tblPr>
        <w:tblStyle w:val="3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7945"/>
      </w:tblGrid>
      <w:tr w14:paraId="7E4C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blHeader/>
          <w:jc w:val="center"/>
        </w:trPr>
        <w:tc>
          <w:tcPr>
            <w:tcW w:w="1205" w:type="dxa"/>
            <w:vAlign w:val="center"/>
          </w:tcPr>
          <w:p w14:paraId="43EEBF0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w:t>
            </w:r>
          </w:p>
        </w:tc>
        <w:tc>
          <w:tcPr>
            <w:tcW w:w="7945" w:type="dxa"/>
            <w:vAlign w:val="center"/>
          </w:tcPr>
          <w:p w14:paraId="3922921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县城发展定位指引</w:t>
            </w:r>
          </w:p>
        </w:tc>
      </w:tr>
      <w:tr w14:paraId="3122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450CC44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双柏</w:t>
            </w:r>
          </w:p>
        </w:tc>
        <w:tc>
          <w:tcPr>
            <w:tcW w:w="7945" w:type="dxa"/>
            <w:vAlign w:val="center"/>
          </w:tcPr>
          <w:p w14:paraId="15D1EAA0">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滇中城市群生态绿心</w:t>
            </w:r>
            <w:r>
              <w:rPr>
                <w:rFonts w:hint="eastAsia" w:eastAsia="方正仿宋_GBK"/>
                <w:color w:val="auto"/>
                <w:sz w:val="24"/>
                <w:szCs w:val="24"/>
                <w:highlight w:val="none"/>
              </w:rPr>
              <w:t>，</w:t>
            </w:r>
            <w:r>
              <w:rPr>
                <w:rFonts w:eastAsia="方正仿宋_GBK"/>
                <w:color w:val="auto"/>
                <w:sz w:val="24"/>
                <w:szCs w:val="24"/>
                <w:highlight w:val="none"/>
              </w:rPr>
              <w:t>楚雄区域性中心城市南部卫星城</w:t>
            </w:r>
            <w:r>
              <w:rPr>
                <w:rFonts w:hint="eastAsia" w:eastAsia="方正仿宋_GBK"/>
                <w:color w:val="auto"/>
                <w:sz w:val="24"/>
                <w:szCs w:val="24"/>
                <w:highlight w:val="none"/>
              </w:rPr>
              <w:t>，</w:t>
            </w:r>
            <w:r>
              <w:rPr>
                <w:rFonts w:eastAsia="方正仿宋_GBK"/>
                <w:color w:val="auto"/>
                <w:sz w:val="24"/>
                <w:szCs w:val="24"/>
                <w:highlight w:val="none"/>
              </w:rPr>
              <w:t>全国知名的健康养生养老服务基地</w:t>
            </w:r>
            <w:r>
              <w:rPr>
                <w:rFonts w:hint="eastAsia" w:eastAsia="方正仿宋_GBK"/>
                <w:color w:val="auto"/>
                <w:sz w:val="24"/>
                <w:szCs w:val="24"/>
                <w:highlight w:val="none"/>
              </w:rPr>
              <w:t>，</w:t>
            </w:r>
            <w:r>
              <w:rPr>
                <w:rFonts w:eastAsia="方正仿宋_GBK"/>
                <w:color w:val="auto"/>
                <w:sz w:val="24"/>
                <w:szCs w:val="24"/>
                <w:highlight w:val="none"/>
              </w:rPr>
              <w:t>绿色经济示范县。</w:t>
            </w:r>
          </w:p>
        </w:tc>
      </w:tr>
      <w:tr w14:paraId="2755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1CBA017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牟定</w:t>
            </w:r>
          </w:p>
        </w:tc>
        <w:tc>
          <w:tcPr>
            <w:tcW w:w="7945" w:type="dxa"/>
            <w:vAlign w:val="center"/>
          </w:tcPr>
          <w:p w14:paraId="26D72938">
            <w:pPr>
              <w:pStyle w:val="56"/>
              <w:overflowPunct w:val="0"/>
              <w:adjustRightInd/>
              <w:snapToGrid/>
              <w:spacing w:line="360" w:lineRule="exact"/>
              <w:ind w:firstLine="0" w:firstLineChars="0"/>
              <w:jc w:val="left"/>
              <w:rPr>
                <w:rFonts w:eastAsia="方正仿宋_GBK"/>
                <w:color w:val="auto"/>
                <w:sz w:val="24"/>
                <w:szCs w:val="24"/>
                <w:highlight w:val="none"/>
              </w:rPr>
            </w:pPr>
            <w:r>
              <w:rPr>
                <w:rFonts w:hint="eastAsia" w:eastAsia="方正仿宋_GBK"/>
                <w:color w:val="auto"/>
                <w:sz w:val="24"/>
                <w:szCs w:val="24"/>
                <w:highlight w:val="none"/>
              </w:rPr>
              <w:t>全国大宗固体废弃物综合利用基地，全国民族团结进步示范县，</w:t>
            </w:r>
            <w:r>
              <w:rPr>
                <w:rFonts w:eastAsia="方正仿宋_GBK"/>
                <w:color w:val="auto"/>
                <w:sz w:val="24"/>
                <w:szCs w:val="24"/>
                <w:highlight w:val="none"/>
              </w:rPr>
              <w:t>中国彝族左脚舞</w:t>
            </w:r>
            <w:r>
              <w:rPr>
                <w:rFonts w:hint="eastAsia" w:eastAsia="方正仿宋_GBK"/>
                <w:color w:val="auto"/>
                <w:sz w:val="24"/>
                <w:szCs w:val="24"/>
                <w:highlight w:val="none"/>
              </w:rPr>
              <w:t>之乡，滇中交通节点城市，</w:t>
            </w:r>
            <w:r>
              <w:rPr>
                <w:rFonts w:eastAsia="方正仿宋_GBK"/>
                <w:color w:val="auto"/>
                <w:sz w:val="24"/>
                <w:szCs w:val="24"/>
                <w:highlight w:val="none"/>
              </w:rPr>
              <w:t>楚雄区域性中心城市北部卫星城</w:t>
            </w:r>
            <w:r>
              <w:rPr>
                <w:rFonts w:hint="eastAsia" w:eastAsia="方正仿宋_GBK"/>
                <w:color w:val="auto"/>
                <w:sz w:val="24"/>
                <w:szCs w:val="24"/>
                <w:highlight w:val="none"/>
              </w:rPr>
              <w:t>。</w:t>
            </w:r>
          </w:p>
        </w:tc>
      </w:tr>
      <w:tr w14:paraId="2967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0503387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南华</w:t>
            </w:r>
          </w:p>
        </w:tc>
        <w:tc>
          <w:tcPr>
            <w:tcW w:w="7945" w:type="dxa"/>
            <w:vAlign w:val="center"/>
          </w:tcPr>
          <w:p w14:paraId="679A66D3">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全国野生食用菌交易和集散中心，服务滇中连接滇西的区域性商贸物流中心</w:t>
            </w:r>
            <w:r>
              <w:rPr>
                <w:rFonts w:hint="eastAsia" w:eastAsia="方正仿宋_GBK"/>
                <w:color w:val="auto"/>
                <w:sz w:val="24"/>
                <w:szCs w:val="24"/>
                <w:highlight w:val="none"/>
              </w:rPr>
              <w:t>，</w:t>
            </w:r>
            <w:r>
              <w:rPr>
                <w:rFonts w:eastAsia="方正仿宋_GBK"/>
                <w:color w:val="auto"/>
                <w:sz w:val="24"/>
                <w:szCs w:val="24"/>
                <w:highlight w:val="none"/>
              </w:rPr>
              <w:t>滇中城市群向西开放的门户</w:t>
            </w:r>
            <w:r>
              <w:rPr>
                <w:rFonts w:hint="eastAsia" w:eastAsia="方正仿宋_GBK"/>
                <w:color w:val="auto"/>
                <w:sz w:val="24"/>
                <w:szCs w:val="24"/>
                <w:highlight w:val="none"/>
              </w:rPr>
              <w:t>，</w:t>
            </w:r>
            <w:r>
              <w:rPr>
                <w:rFonts w:eastAsia="方正仿宋_GBK"/>
                <w:color w:val="auto"/>
                <w:sz w:val="24"/>
                <w:szCs w:val="24"/>
                <w:highlight w:val="none"/>
              </w:rPr>
              <w:t>绿色食品生产加工物流基地</w:t>
            </w:r>
            <w:r>
              <w:rPr>
                <w:rFonts w:hint="eastAsia" w:eastAsia="方正仿宋_GBK"/>
                <w:color w:val="auto"/>
                <w:sz w:val="24"/>
                <w:szCs w:val="24"/>
                <w:highlight w:val="none"/>
              </w:rPr>
              <w:t>，</w:t>
            </w:r>
            <w:r>
              <w:rPr>
                <w:rFonts w:eastAsia="方正仿宋_GBK"/>
                <w:color w:val="auto"/>
                <w:sz w:val="24"/>
                <w:szCs w:val="24"/>
                <w:highlight w:val="none"/>
              </w:rPr>
              <w:t>楚雄区域性中心城市</w:t>
            </w:r>
            <w:r>
              <w:rPr>
                <w:rFonts w:hint="eastAsia" w:eastAsia="方正仿宋_GBK"/>
                <w:color w:val="auto"/>
                <w:sz w:val="24"/>
                <w:szCs w:val="24"/>
                <w:highlight w:val="none"/>
              </w:rPr>
              <w:t>西</w:t>
            </w:r>
            <w:r>
              <w:rPr>
                <w:rFonts w:eastAsia="方正仿宋_GBK"/>
                <w:color w:val="auto"/>
                <w:sz w:val="24"/>
                <w:szCs w:val="24"/>
                <w:highlight w:val="none"/>
              </w:rPr>
              <w:t>部卫星城</w:t>
            </w:r>
            <w:r>
              <w:rPr>
                <w:rFonts w:hint="eastAsia" w:eastAsia="方正仿宋_GBK"/>
                <w:color w:val="auto"/>
                <w:sz w:val="24"/>
                <w:szCs w:val="24"/>
                <w:highlight w:val="none"/>
              </w:rPr>
              <w:t>。</w:t>
            </w:r>
          </w:p>
        </w:tc>
      </w:tr>
      <w:tr w14:paraId="601F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08EF044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姚安</w:t>
            </w:r>
          </w:p>
        </w:tc>
        <w:tc>
          <w:tcPr>
            <w:tcW w:w="7945" w:type="dxa"/>
            <w:vAlign w:val="center"/>
          </w:tcPr>
          <w:p w14:paraId="5483D216">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国家现代农业产业园</w:t>
            </w:r>
            <w:r>
              <w:rPr>
                <w:rFonts w:hint="eastAsia" w:eastAsia="方正仿宋_GBK"/>
                <w:color w:val="auto"/>
                <w:sz w:val="24"/>
                <w:szCs w:val="24"/>
                <w:highlight w:val="none"/>
              </w:rPr>
              <w:t>，</w:t>
            </w:r>
            <w:r>
              <w:rPr>
                <w:rFonts w:eastAsia="方正仿宋_GBK"/>
                <w:color w:val="auto"/>
                <w:sz w:val="24"/>
                <w:szCs w:val="24"/>
                <w:highlight w:val="none"/>
              </w:rPr>
              <w:t>云南省绿色食品生产示范基地，滇中现代化生态田园城市，休闲观光农业之乡。</w:t>
            </w:r>
          </w:p>
        </w:tc>
      </w:tr>
      <w:tr w14:paraId="0502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32E3BB1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大姚</w:t>
            </w:r>
          </w:p>
        </w:tc>
        <w:tc>
          <w:tcPr>
            <w:tcW w:w="7945" w:type="dxa"/>
            <w:vAlign w:val="center"/>
          </w:tcPr>
          <w:p w14:paraId="658D9E66">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全国民族地区城乡统筹发展示范区</w:t>
            </w:r>
            <w:r>
              <w:rPr>
                <w:rFonts w:hint="eastAsia" w:eastAsia="方正仿宋_GBK"/>
                <w:color w:val="auto"/>
                <w:sz w:val="24"/>
                <w:szCs w:val="24"/>
                <w:highlight w:val="none"/>
              </w:rPr>
              <w:t>，</w:t>
            </w:r>
            <w:r>
              <w:rPr>
                <w:rFonts w:eastAsia="方正仿宋_GBK"/>
                <w:color w:val="auto"/>
                <w:sz w:val="24"/>
                <w:szCs w:val="24"/>
                <w:highlight w:val="none"/>
              </w:rPr>
              <w:t>楚北对外开放合作重要门户</w:t>
            </w:r>
            <w:r>
              <w:rPr>
                <w:rFonts w:hint="eastAsia" w:eastAsia="方正仿宋_GBK"/>
                <w:color w:val="auto"/>
                <w:sz w:val="24"/>
                <w:szCs w:val="24"/>
                <w:highlight w:val="none"/>
              </w:rPr>
              <w:t>，</w:t>
            </w:r>
            <w:r>
              <w:rPr>
                <w:rFonts w:eastAsia="方正仿宋_GBK"/>
                <w:color w:val="auto"/>
                <w:sz w:val="24"/>
                <w:szCs w:val="24"/>
                <w:highlight w:val="none"/>
              </w:rPr>
              <w:t>以核桃为主导产业的绿色产业基地，民族文化创新创业基地。</w:t>
            </w:r>
          </w:p>
        </w:tc>
      </w:tr>
      <w:tr w14:paraId="528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4EE5985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永仁</w:t>
            </w:r>
          </w:p>
        </w:tc>
        <w:tc>
          <w:tcPr>
            <w:tcW w:w="7945" w:type="dxa"/>
            <w:vAlign w:val="center"/>
          </w:tcPr>
          <w:p w14:paraId="5913400A">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国际阳光康养旅游目的地</w:t>
            </w:r>
            <w:r>
              <w:rPr>
                <w:rFonts w:hint="eastAsia" w:eastAsia="方正仿宋_GBK"/>
                <w:color w:val="auto"/>
                <w:sz w:val="24"/>
                <w:szCs w:val="24"/>
                <w:highlight w:val="none"/>
              </w:rPr>
              <w:t>，</w:t>
            </w:r>
            <w:r>
              <w:rPr>
                <w:rFonts w:eastAsia="方正仿宋_GBK"/>
                <w:color w:val="auto"/>
                <w:sz w:val="24"/>
                <w:szCs w:val="24"/>
                <w:highlight w:val="none"/>
              </w:rPr>
              <w:t>滇川融合发展先行示范区，面向滇中、攀西的</w:t>
            </w:r>
            <w:r>
              <w:rPr>
                <w:rFonts w:hint="eastAsia" w:eastAsia="方正仿宋_GBK"/>
                <w:color w:val="auto"/>
                <w:sz w:val="24"/>
                <w:szCs w:val="24"/>
                <w:highlight w:val="none"/>
              </w:rPr>
              <w:t>物流陆港节点，</w:t>
            </w:r>
            <w:r>
              <w:rPr>
                <w:rFonts w:eastAsia="方正仿宋_GBK"/>
                <w:color w:val="auto"/>
                <w:sz w:val="24"/>
                <w:szCs w:val="24"/>
                <w:highlight w:val="none"/>
              </w:rPr>
              <w:t>云南北大门。</w:t>
            </w:r>
          </w:p>
        </w:tc>
      </w:tr>
      <w:tr w14:paraId="13DC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05" w:type="dxa"/>
            <w:vAlign w:val="center"/>
          </w:tcPr>
          <w:p w14:paraId="7772826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元谋</w:t>
            </w:r>
          </w:p>
        </w:tc>
        <w:tc>
          <w:tcPr>
            <w:tcW w:w="7945" w:type="dxa"/>
            <w:vAlign w:val="center"/>
          </w:tcPr>
          <w:p w14:paraId="7F023CA0">
            <w:pPr>
              <w:pStyle w:val="56"/>
              <w:overflowPunct w:val="0"/>
              <w:adjustRightInd/>
              <w:snapToGrid/>
              <w:spacing w:line="360" w:lineRule="exact"/>
              <w:ind w:firstLine="0" w:firstLineChars="0"/>
              <w:jc w:val="left"/>
              <w:rPr>
                <w:rFonts w:eastAsia="方正仿宋_GBK"/>
                <w:color w:val="auto"/>
                <w:sz w:val="24"/>
                <w:szCs w:val="24"/>
                <w:highlight w:val="none"/>
              </w:rPr>
            </w:pPr>
            <w:r>
              <w:rPr>
                <w:rFonts w:hint="eastAsia" w:eastAsia="方正仿宋_GBK"/>
                <w:color w:val="auto"/>
                <w:sz w:val="24"/>
                <w:szCs w:val="24"/>
                <w:highlight w:val="none"/>
              </w:rPr>
              <w:t>全国著名冬季旅居养老基地，</w:t>
            </w:r>
            <w:r>
              <w:rPr>
                <w:rFonts w:eastAsia="方正仿宋_GBK"/>
                <w:color w:val="auto"/>
                <w:sz w:val="24"/>
                <w:szCs w:val="24"/>
                <w:highlight w:val="none"/>
              </w:rPr>
              <w:t>国家现代农业示范区中国冬早蔬菜生产和物流基地</w:t>
            </w:r>
            <w:r>
              <w:rPr>
                <w:rFonts w:hint="eastAsia" w:eastAsia="方正仿宋_GBK"/>
                <w:color w:val="auto"/>
                <w:sz w:val="24"/>
                <w:szCs w:val="24"/>
                <w:highlight w:val="none"/>
              </w:rPr>
              <w:t>，</w:t>
            </w:r>
            <w:r>
              <w:rPr>
                <w:rFonts w:eastAsia="方正仿宋_GBK"/>
                <w:color w:val="auto"/>
                <w:sz w:val="24"/>
                <w:szCs w:val="24"/>
                <w:highlight w:val="none"/>
              </w:rPr>
              <w:t>楚北区域性中心城市。</w:t>
            </w:r>
          </w:p>
        </w:tc>
      </w:tr>
      <w:tr w14:paraId="2594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vAlign w:val="center"/>
          </w:tcPr>
          <w:p w14:paraId="18A88B25">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武定</w:t>
            </w:r>
          </w:p>
        </w:tc>
        <w:tc>
          <w:tcPr>
            <w:tcW w:w="7945" w:type="dxa"/>
            <w:vAlign w:val="center"/>
          </w:tcPr>
          <w:p w14:paraId="14EEBB4C">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全国民族地区城乡统筹发展示范区</w:t>
            </w:r>
            <w:r>
              <w:rPr>
                <w:rFonts w:hint="eastAsia" w:eastAsia="方正仿宋_GBK"/>
                <w:color w:val="auto"/>
                <w:sz w:val="24"/>
                <w:szCs w:val="24"/>
                <w:highlight w:val="none"/>
              </w:rPr>
              <w:t>，</w:t>
            </w:r>
            <w:r>
              <w:rPr>
                <w:rFonts w:eastAsia="方正仿宋_GBK"/>
                <w:color w:val="auto"/>
                <w:sz w:val="24"/>
                <w:szCs w:val="24"/>
                <w:highlight w:val="none"/>
              </w:rPr>
              <w:t>云南重要的冶金建材产业基地，昆明区域性国际中心城市后花园</w:t>
            </w:r>
            <w:r>
              <w:rPr>
                <w:rFonts w:hint="eastAsia" w:eastAsia="方正仿宋_GBK"/>
                <w:color w:val="auto"/>
                <w:sz w:val="24"/>
                <w:szCs w:val="24"/>
                <w:highlight w:val="none"/>
              </w:rPr>
              <w:t>，</w:t>
            </w:r>
            <w:r>
              <w:rPr>
                <w:rFonts w:eastAsia="方正仿宋_GBK"/>
                <w:color w:val="auto"/>
                <w:sz w:val="24"/>
                <w:szCs w:val="24"/>
                <w:highlight w:val="none"/>
              </w:rPr>
              <w:t>特色农产品生产加工基地。</w:t>
            </w:r>
          </w:p>
        </w:tc>
      </w:tr>
    </w:tbl>
    <w:p w14:paraId="3D32AF36">
      <w:pPr>
        <w:ind w:firstLine="600"/>
        <w:rPr>
          <w:color w:val="auto"/>
          <w:highlight w:val="none"/>
        </w:rPr>
      </w:pPr>
      <w:r>
        <w:rPr>
          <w:rFonts w:ascii="方正楷体_GBK" w:eastAsia="方正楷体_GBK"/>
          <w:color w:val="auto"/>
          <w:sz w:val="30"/>
          <w:szCs w:val="30"/>
          <w:highlight w:val="none"/>
        </w:rPr>
        <w:t>建设宜居宜游小城镇。</w:t>
      </w:r>
      <w:r>
        <w:rPr>
          <w:rFonts w:hint="eastAsia" w:eastAsia="方正仿宋_GBK"/>
          <w:color w:val="auto"/>
          <w:sz w:val="30"/>
          <w:szCs w:val="30"/>
          <w:highlight w:val="none"/>
        </w:rPr>
        <w:t>将建制镇和乡政府驻地培育成小城镇，强化道路交通、电力电信、污水垃圾处理设施建设空间保障，加强文化、教育、医疗、卫生、集贸等公共服务配套，注重历史文化资源的保护与利用，提升宜居度，增强综合服务功能和人口集聚能力。聚焦“特色、产业、生态、干净、智慧”5大要素，加快推进黑井古镇等特色小镇建设，不断提升特色小镇品质。</w:t>
      </w:r>
    </w:p>
    <w:p w14:paraId="5C789217">
      <w:pPr>
        <w:pStyle w:val="11"/>
        <w:rPr>
          <w:color w:val="auto"/>
          <w:highlight w:val="none"/>
        </w:rPr>
      </w:pPr>
      <w:r>
        <w:rPr>
          <w:color w:val="auto"/>
          <w:highlight w:val="none"/>
        </w:rPr>
        <w:t>专栏</w:t>
      </w:r>
      <w:r>
        <w:rPr>
          <w:rFonts w:hint="eastAsia"/>
          <w:color w:val="auto"/>
          <w:highlight w:val="none"/>
          <w:lang w:val="en-US" w:eastAsia="zh-CN"/>
        </w:rPr>
        <w:t>7</w:t>
      </w:r>
      <w:r>
        <w:rPr>
          <w:color w:val="auto"/>
          <w:highlight w:val="none"/>
        </w:rPr>
        <w:t xml:space="preserve">  城镇体系等级结构</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006"/>
        <w:gridCol w:w="5844"/>
      </w:tblGrid>
      <w:tr w14:paraId="4CB3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3212" w:type="dxa"/>
            <w:gridSpan w:val="2"/>
            <w:vAlign w:val="center"/>
          </w:tcPr>
          <w:p w14:paraId="188976A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等级结构</w:t>
            </w:r>
          </w:p>
        </w:tc>
        <w:tc>
          <w:tcPr>
            <w:tcW w:w="5844" w:type="dxa"/>
            <w:vAlign w:val="center"/>
          </w:tcPr>
          <w:p w14:paraId="6C9935D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名称或数量</w:t>
            </w:r>
          </w:p>
        </w:tc>
      </w:tr>
      <w:tr w14:paraId="7BF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06" w:type="dxa"/>
            <w:vMerge w:val="restart"/>
            <w:vAlign w:val="center"/>
          </w:tcPr>
          <w:p w14:paraId="137CA28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中心城市</w:t>
            </w:r>
          </w:p>
        </w:tc>
        <w:tc>
          <w:tcPr>
            <w:tcW w:w="2006" w:type="dxa"/>
            <w:vAlign w:val="center"/>
          </w:tcPr>
          <w:p w14:paraId="2F73D20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w:t>
            </w:r>
            <w:r>
              <w:rPr>
                <w:rFonts w:eastAsia="方正仿宋_GBK"/>
                <w:color w:val="auto"/>
                <w:sz w:val="24"/>
                <w:szCs w:val="24"/>
                <w:highlight w:val="none"/>
              </w:rPr>
              <w:t>域中心城市</w:t>
            </w:r>
          </w:p>
        </w:tc>
        <w:tc>
          <w:tcPr>
            <w:tcW w:w="5844" w:type="dxa"/>
            <w:vAlign w:val="center"/>
          </w:tcPr>
          <w:p w14:paraId="094D779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w:t>
            </w:r>
            <w:r>
              <w:rPr>
                <w:rFonts w:hint="eastAsia" w:eastAsia="方正仿宋_GBK"/>
                <w:color w:val="auto"/>
                <w:sz w:val="24"/>
                <w:szCs w:val="24"/>
                <w:highlight w:val="none"/>
              </w:rPr>
              <w:t>（含鹿城、东瓜）</w:t>
            </w:r>
          </w:p>
        </w:tc>
      </w:tr>
      <w:tr w14:paraId="07B8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1206" w:type="dxa"/>
            <w:vMerge w:val="continue"/>
            <w:vAlign w:val="center"/>
          </w:tcPr>
          <w:p w14:paraId="5C92D7F3">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006" w:type="dxa"/>
            <w:vAlign w:val="center"/>
          </w:tcPr>
          <w:p w14:paraId="08735E3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州域</w:t>
            </w:r>
            <w:r>
              <w:rPr>
                <w:rFonts w:hint="eastAsia" w:eastAsia="方正仿宋_GBK"/>
                <w:color w:val="auto"/>
                <w:sz w:val="24"/>
                <w:szCs w:val="24"/>
                <w:highlight w:val="none"/>
              </w:rPr>
              <w:t>次</w:t>
            </w:r>
            <w:r>
              <w:rPr>
                <w:rFonts w:eastAsia="方正仿宋_GBK"/>
                <w:color w:val="auto"/>
                <w:sz w:val="24"/>
                <w:szCs w:val="24"/>
                <w:highlight w:val="none"/>
              </w:rPr>
              <w:t>中心城市</w:t>
            </w:r>
          </w:p>
        </w:tc>
        <w:tc>
          <w:tcPr>
            <w:tcW w:w="5844" w:type="dxa"/>
            <w:vAlign w:val="center"/>
          </w:tcPr>
          <w:p w14:paraId="4CF2551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禄丰</w:t>
            </w:r>
          </w:p>
        </w:tc>
      </w:tr>
      <w:tr w14:paraId="49FC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06" w:type="dxa"/>
            <w:vAlign w:val="center"/>
          </w:tcPr>
          <w:p w14:paraId="48E3C4C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县城</w:t>
            </w:r>
          </w:p>
        </w:tc>
        <w:tc>
          <w:tcPr>
            <w:tcW w:w="2006" w:type="dxa"/>
            <w:vAlign w:val="center"/>
          </w:tcPr>
          <w:p w14:paraId="64FFEFC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县城</w:t>
            </w:r>
          </w:p>
        </w:tc>
        <w:tc>
          <w:tcPr>
            <w:tcW w:w="5844" w:type="dxa"/>
            <w:vAlign w:val="center"/>
          </w:tcPr>
          <w:p w14:paraId="499DE8E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双柏、牟定、南华、姚安、大姚、永仁、元谋、武定</w:t>
            </w:r>
          </w:p>
        </w:tc>
      </w:tr>
      <w:tr w14:paraId="3D0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exact"/>
        </w:trPr>
        <w:tc>
          <w:tcPr>
            <w:tcW w:w="1206" w:type="dxa"/>
            <w:vMerge w:val="restart"/>
            <w:vAlign w:val="center"/>
          </w:tcPr>
          <w:p w14:paraId="7E0521C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小城镇</w:t>
            </w:r>
          </w:p>
        </w:tc>
        <w:tc>
          <w:tcPr>
            <w:tcW w:w="2006" w:type="dxa"/>
            <w:vAlign w:val="center"/>
          </w:tcPr>
          <w:p w14:paraId="25EE20B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镇</w:t>
            </w:r>
          </w:p>
          <w:p w14:paraId="3B6A00B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（不含县城所在地镇）</w:t>
            </w:r>
          </w:p>
        </w:tc>
        <w:tc>
          <w:tcPr>
            <w:tcW w:w="5844" w:type="dxa"/>
            <w:vAlign w:val="center"/>
          </w:tcPr>
          <w:p w14:paraId="6CA97BF0">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吕合、紫溪、东华、子午、苍岭、三街、八角、中山、新村、西舍路，广通、碧城、仁兴、勤丰、一平浪，彩云、土官、黑井、和平、恐龙山，大庄、</w:t>
            </w:r>
            <w:r>
              <w:rPr>
                <w:rFonts w:hint="eastAsia" w:ascii="等线 Light" w:hAnsi="等线 Light" w:eastAsia="等线 Light" w:cs="等线 Light"/>
                <w:color w:val="auto"/>
                <w:sz w:val="24"/>
                <w:szCs w:val="24"/>
                <w:highlight w:val="none"/>
              </w:rPr>
              <w:t>𥔲</w:t>
            </w:r>
            <w:r>
              <w:rPr>
                <w:rFonts w:eastAsia="方正仿宋_GBK"/>
                <w:color w:val="auto"/>
                <w:sz w:val="24"/>
                <w:szCs w:val="24"/>
                <w:highlight w:val="none"/>
              </w:rPr>
              <w:t>嘉、</w:t>
            </w:r>
            <w:r>
              <w:rPr>
                <w:rFonts w:hint="eastAsia" w:eastAsia="方正仿宋_GBK"/>
                <w:color w:val="auto"/>
                <w:sz w:val="24"/>
                <w:szCs w:val="24"/>
                <w:highlight w:val="none"/>
              </w:rPr>
              <w:t>法脿</w:t>
            </w:r>
            <w:r>
              <w:rPr>
                <w:rFonts w:eastAsia="方正仿宋_GBK"/>
                <w:color w:val="auto"/>
                <w:sz w:val="24"/>
                <w:szCs w:val="24"/>
                <w:highlight w:val="none"/>
              </w:rPr>
              <w:t>、大麦地，新桥、江坡、凤屯，沙桥、五街、红土坡、兔街、马街，光禄、前场、弥兴、太平、官屯，石羊、六苴、龙街、新街、赵家店、三岔河、桂花，宜就、中和，黄瓜园、羊街，高桥、猫街、插甸、白路、万德、己衣</w:t>
            </w:r>
          </w:p>
        </w:tc>
      </w:tr>
      <w:tr w14:paraId="44BB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trPr>
        <w:tc>
          <w:tcPr>
            <w:tcW w:w="1206" w:type="dxa"/>
            <w:vMerge w:val="continue"/>
            <w:vAlign w:val="center"/>
          </w:tcPr>
          <w:p w14:paraId="71B312A6">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006" w:type="dxa"/>
            <w:vAlign w:val="center"/>
          </w:tcPr>
          <w:p w14:paraId="7DDF576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乡</w:t>
            </w:r>
          </w:p>
        </w:tc>
        <w:tc>
          <w:tcPr>
            <w:tcW w:w="5844" w:type="dxa"/>
            <w:vAlign w:val="center"/>
          </w:tcPr>
          <w:p w14:paraId="7C28CFE0">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大过口、大地基、树苴，中村、妥安、高峰，安龙堡、爱尼山、独田，蟠猫、戌街、安乐，雨露、一街、罗武庄、五顶山，适中、左门、大河口，昙华、湾碧傣族傈僳族、铁锁、三台，莲池、维的、猛虎、永兴傣族，老城、物茂、江边、新华、平田、凉山、姜驿，田心、发窝、环州、东坡</w:t>
            </w:r>
          </w:p>
        </w:tc>
      </w:tr>
    </w:tbl>
    <w:p w14:paraId="6EE4DC60">
      <w:pPr>
        <w:ind w:firstLine="0" w:firstLineChars="0"/>
        <w:rPr>
          <w:rFonts w:ascii="方正仿宋_GBK" w:eastAsia="方正仿宋_GBK"/>
          <w:color w:val="auto"/>
          <w:highlight w:val="none"/>
        </w:rPr>
      </w:pPr>
      <w:r>
        <w:rPr>
          <w:rFonts w:hint="eastAsia" w:ascii="方正仿宋_GBK" w:eastAsia="方正仿宋_GBK"/>
          <w:color w:val="auto"/>
          <w:highlight w:val="none"/>
        </w:rPr>
        <w:t>（二）明确城镇职能结构</w:t>
      </w:r>
    </w:p>
    <w:p w14:paraId="5CE7537F">
      <w:pPr>
        <w:ind w:firstLine="600"/>
        <w:rPr>
          <w:rFonts w:eastAsia="方正仿宋_GBK"/>
          <w:color w:val="auto"/>
          <w:sz w:val="30"/>
          <w:szCs w:val="30"/>
          <w:highlight w:val="none"/>
        </w:rPr>
      </w:pPr>
      <w:r>
        <w:rPr>
          <w:rFonts w:hint="eastAsia" w:eastAsia="方正仿宋_GBK"/>
          <w:color w:val="auto"/>
          <w:sz w:val="30"/>
          <w:szCs w:val="30"/>
          <w:highlight w:val="none"/>
        </w:rPr>
        <w:t>贯彻落实主体功能区战略，强化中心城市、县城的综合型职能，引导旅游型、工业带动型、现代农业型、商贸集散型、三农服务型5类小城镇建设。</w:t>
      </w:r>
    </w:p>
    <w:p w14:paraId="317B1C75">
      <w:pPr>
        <w:pStyle w:val="11"/>
        <w:rPr>
          <w:color w:val="auto"/>
          <w:highlight w:val="none"/>
        </w:rPr>
      </w:pPr>
      <w:r>
        <w:rPr>
          <w:color w:val="auto"/>
          <w:highlight w:val="none"/>
        </w:rPr>
        <w:t>专栏</w:t>
      </w:r>
      <w:r>
        <w:rPr>
          <w:rFonts w:hint="eastAsia"/>
          <w:color w:val="auto"/>
          <w:highlight w:val="none"/>
          <w:lang w:val="en-US" w:eastAsia="zh-CN"/>
        </w:rPr>
        <w:t>8</w:t>
      </w:r>
      <w:r>
        <w:rPr>
          <w:color w:val="auto"/>
          <w:highlight w:val="none"/>
        </w:rPr>
        <w:t xml:space="preserve">  城镇</w:t>
      </w:r>
      <w:r>
        <w:rPr>
          <w:rFonts w:hint="eastAsia"/>
          <w:color w:val="auto"/>
          <w:highlight w:val="none"/>
        </w:rPr>
        <w:t>职能规划</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7"/>
        <w:gridCol w:w="5225"/>
      </w:tblGrid>
      <w:tr w14:paraId="6427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42" w:type="pct"/>
            <w:vAlign w:val="center"/>
          </w:tcPr>
          <w:p w14:paraId="5AFF8ED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职能类型</w:t>
            </w:r>
          </w:p>
        </w:tc>
        <w:tc>
          <w:tcPr>
            <w:tcW w:w="2958" w:type="pct"/>
            <w:vAlign w:val="center"/>
          </w:tcPr>
          <w:p w14:paraId="1918B6B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名称</w:t>
            </w:r>
          </w:p>
        </w:tc>
      </w:tr>
      <w:tr w14:paraId="5B17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2" w:type="pct"/>
            <w:vAlign w:val="center"/>
          </w:tcPr>
          <w:p w14:paraId="4DFDF4B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旅游型</w:t>
            </w:r>
          </w:p>
        </w:tc>
        <w:tc>
          <w:tcPr>
            <w:tcW w:w="2958" w:type="pct"/>
            <w:vAlign w:val="center"/>
          </w:tcPr>
          <w:p w14:paraId="22A2D02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西舍路、兔街、法脿、</w:t>
            </w:r>
            <w:r>
              <w:rPr>
                <w:rFonts w:hint="eastAsia" w:ascii="等线 Light" w:hAnsi="等线 Light" w:eastAsia="等线 Light" w:cs="等线 Light"/>
                <w:color w:val="auto"/>
                <w:sz w:val="24"/>
                <w:szCs w:val="24"/>
                <w:highlight w:val="none"/>
              </w:rPr>
              <w:t>𥔲</w:t>
            </w:r>
            <w:r>
              <w:rPr>
                <w:rFonts w:hint="eastAsia" w:eastAsia="方正仿宋_GBK"/>
                <w:color w:val="auto"/>
                <w:sz w:val="24"/>
                <w:szCs w:val="24"/>
                <w:highlight w:val="none"/>
              </w:rPr>
              <w:t>嘉、凤屯、黑井、中村、彩云、恐龙山、新华、江边、平田、中和、永兴、光禄、石羊、昙华、己衣、万德</w:t>
            </w:r>
          </w:p>
        </w:tc>
      </w:tr>
      <w:tr w14:paraId="17FF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center"/>
          </w:tcPr>
          <w:p w14:paraId="23B8AFE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工业带动型</w:t>
            </w:r>
          </w:p>
        </w:tc>
        <w:tc>
          <w:tcPr>
            <w:tcW w:w="2958" w:type="pct"/>
            <w:vAlign w:val="center"/>
          </w:tcPr>
          <w:p w14:paraId="7F41BD15">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雨露、大庄、新桥、一平浪、仁兴、老城、物茂、六苴、插甸</w:t>
            </w:r>
          </w:p>
        </w:tc>
      </w:tr>
      <w:tr w14:paraId="14E1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center"/>
          </w:tcPr>
          <w:p w14:paraId="4C35AD1F">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现代农业型</w:t>
            </w:r>
          </w:p>
        </w:tc>
        <w:tc>
          <w:tcPr>
            <w:tcW w:w="2958" w:type="pct"/>
            <w:vAlign w:val="center"/>
          </w:tcPr>
          <w:p w14:paraId="423F63B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八角、树苴、大过口、大地基、新村、一街、罗武庄、五顶山、马街、安龙堡、大麦地、独田、爱尼山、安乐、戌街、江坡、妥安、高峰、和平、姜驿、凉山、宜就、莲池、维的、猛虎、前场、大河口、适中、官屯、桂花、新街、铁锁、三台、田心、发窝、白路、环州、东坡、高桥</w:t>
            </w:r>
          </w:p>
        </w:tc>
      </w:tr>
      <w:tr w14:paraId="3620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center"/>
          </w:tcPr>
          <w:p w14:paraId="1FA4085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商贸集散型</w:t>
            </w:r>
          </w:p>
        </w:tc>
        <w:tc>
          <w:tcPr>
            <w:tcW w:w="2958" w:type="pct"/>
            <w:vAlign w:val="center"/>
          </w:tcPr>
          <w:p w14:paraId="72E0D38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三街、中山、五街、红土坡、沙桥、蟠猫、广通、羊街、黄瓜园、弥兴、太平、左门、三岔河、湾碧、赵家店、龙街、猫街</w:t>
            </w:r>
          </w:p>
        </w:tc>
      </w:tr>
      <w:tr w14:paraId="5B5C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center"/>
          </w:tcPr>
          <w:p w14:paraId="084A1FB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三农服务型</w:t>
            </w:r>
          </w:p>
        </w:tc>
        <w:tc>
          <w:tcPr>
            <w:tcW w:w="2958" w:type="pct"/>
            <w:vAlign w:val="center"/>
          </w:tcPr>
          <w:p w14:paraId="1EAFDA7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其余城镇</w:t>
            </w:r>
          </w:p>
        </w:tc>
      </w:tr>
    </w:tbl>
    <w:p w14:paraId="1818DFD9">
      <w:pPr>
        <w:ind w:firstLine="0" w:firstLineChars="0"/>
        <w:rPr>
          <w:rFonts w:eastAsia="楷体"/>
          <w:color w:val="auto"/>
          <w:highlight w:val="none"/>
        </w:rPr>
      </w:pPr>
      <w:r>
        <w:rPr>
          <w:rFonts w:eastAsia="楷体"/>
          <w:color w:val="auto"/>
          <w:highlight w:val="none"/>
        </w:rPr>
        <w:t>（</w:t>
      </w:r>
      <w:r>
        <w:rPr>
          <w:rFonts w:hint="eastAsia" w:eastAsia="楷体"/>
          <w:color w:val="auto"/>
          <w:highlight w:val="none"/>
        </w:rPr>
        <w:t>三</w:t>
      </w:r>
      <w:r>
        <w:rPr>
          <w:rFonts w:eastAsia="楷体"/>
          <w:color w:val="auto"/>
          <w:highlight w:val="none"/>
        </w:rPr>
        <w:t>）优化城镇等级规模</w:t>
      </w:r>
    </w:p>
    <w:p w14:paraId="0D5045CD">
      <w:pPr>
        <w:ind w:firstLine="600"/>
        <w:rPr>
          <w:rFonts w:eastAsia="方正仿宋_GBK"/>
          <w:color w:val="auto"/>
          <w:sz w:val="30"/>
          <w:szCs w:val="30"/>
          <w:highlight w:val="none"/>
        </w:rPr>
      </w:pPr>
      <w:r>
        <w:rPr>
          <w:rFonts w:hint="eastAsia" w:eastAsia="方正仿宋_GBK"/>
          <w:color w:val="auto"/>
          <w:sz w:val="30"/>
          <w:szCs w:val="30"/>
          <w:highlight w:val="none"/>
        </w:rPr>
        <w:t>尊重城镇扁平化发展特征，重点极化楚雄城市，将其建成中等城市，将禄丰和其余8个县城培育成小城市，夯实小城镇发展基础，以底线约束和安全韧性为前提，不强求做大规模，推动“精明增长”“提质做优”，打造精品小城镇</w:t>
      </w:r>
      <w:r>
        <w:rPr>
          <w:rFonts w:eastAsia="方正仿宋_GBK"/>
          <w:color w:val="auto"/>
          <w:sz w:val="30"/>
          <w:szCs w:val="30"/>
          <w:highlight w:val="none"/>
        </w:rPr>
        <w:t>。</w:t>
      </w:r>
    </w:p>
    <w:p w14:paraId="5B928544">
      <w:pPr>
        <w:pStyle w:val="11"/>
        <w:rPr>
          <w:color w:val="auto"/>
          <w:highlight w:val="none"/>
        </w:rPr>
      </w:pPr>
      <w:r>
        <w:rPr>
          <w:color w:val="auto"/>
          <w:highlight w:val="none"/>
        </w:rPr>
        <w:t>专栏</w:t>
      </w:r>
      <w:r>
        <w:rPr>
          <w:rFonts w:hint="eastAsia"/>
          <w:color w:val="auto"/>
          <w:highlight w:val="none"/>
          <w:lang w:val="en-US" w:eastAsia="zh-CN"/>
        </w:rPr>
        <w:t>9</w:t>
      </w:r>
      <w:r>
        <w:rPr>
          <w:color w:val="auto"/>
          <w:highlight w:val="none"/>
        </w:rPr>
        <w:t xml:space="preserve">  城镇体系规模结构规划表（2035年）</w:t>
      </w:r>
      <w:r>
        <w:rPr>
          <w:rFonts w:hint="eastAsia"/>
          <w:color w:val="auto"/>
          <w:highlight w:val="none"/>
        </w:rPr>
        <w:t>（p：城镇人口）</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6"/>
        <w:gridCol w:w="1842"/>
        <w:gridCol w:w="4522"/>
        <w:gridCol w:w="1350"/>
      </w:tblGrid>
      <w:tr w14:paraId="12CF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675" w:type="pct"/>
            <w:gridSpan w:val="2"/>
            <w:tcMar>
              <w:top w:w="15" w:type="dxa"/>
              <w:left w:w="108" w:type="dxa"/>
              <w:bottom w:w="0" w:type="dxa"/>
              <w:right w:w="108" w:type="dxa"/>
            </w:tcMar>
            <w:vAlign w:val="center"/>
          </w:tcPr>
          <w:p w14:paraId="1F0F599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规模分级（万人）</w:t>
            </w:r>
          </w:p>
        </w:tc>
        <w:tc>
          <w:tcPr>
            <w:tcW w:w="2560" w:type="pct"/>
            <w:tcMar>
              <w:top w:w="15" w:type="dxa"/>
              <w:left w:w="108" w:type="dxa"/>
              <w:bottom w:w="0" w:type="dxa"/>
              <w:right w:w="108" w:type="dxa"/>
            </w:tcMar>
            <w:vAlign w:val="center"/>
          </w:tcPr>
          <w:p w14:paraId="2AECF88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城镇名称</w:t>
            </w:r>
          </w:p>
        </w:tc>
        <w:tc>
          <w:tcPr>
            <w:tcW w:w="764" w:type="pct"/>
            <w:tcMar>
              <w:top w:w="15" w:type="dxa"/>
              <w:left w:w="108" w:type="dxa"/>
              <w:bottom w:w="0" w:type="dxa"/>
              <w:right w:w="108" w:type="dxa"/>
            </w:tcMar>
            <w:vAlign w:val="center"/>
          </w:tcPr>
          <w:p w14:paraId="60074AD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个数（个）</w:t>
            </w:r>
          </w:p>
        </w:tc>
      </w:tr>
      <w:tr w14:paraId="1AD4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675" w:type="pct"/>
            <w:gridSpan w:val="2"/>
            <w:tcMar>
              <w:top w:w="15" w:type="dxa"/>
              <w:left w:w="108" w:type="dxa"/>
              <w:bottom w:w="0" w:type="dxa"/>
              <w:right w:w="108" w:type="dxa"/>
            </w:tcMar>
            <w:vAlign w:val="center"/>
          </w:tcPr>
          <w:p w14:paraId="3C3D1896">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中等城市</w:t>
            </w:r>
          </w:p>
          <w:p w14:paraId="0EE4FD2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50≤</w:t>
            </w:r>
            <w:r>
              <w:rPr>
                <w:rFonts w:eastAsia="方正仿宋_GBK"/>
                <w:color w:val="auto"/>
                <w:sz w:val="24"/>
                <w:szCs w:val="24"/>
                <w:highlight w:val="none"/>
              </w:rPr>
              <w:t>P</w:t>
            </w:r>
            <w:r>
              <w:rPr>
                <w:rFonts w:hint="eastAsia" w:eastAsia="方正仿宋_GBK"/>
                <w:color w:val="auto"/>
                <w:sz w:val="24"/>
                <w:szCs w:val="24"/>
                <w:highlight w:val="none"/>
              </w:rPr>
              <w:t>＜100</w:t>
            </w:r>
          </w:p>
        </w:tc>
        <w:tc>
          <w:tcPr>
            <w:tcW w:w="2560" w:type="pct"/>
            <w:tcMar>
              <w:top w:w="15" w:type="dxa"/>
              <w:left w:w="108" w:type="dxa"/>
              <w:bottom w:w="0" w:type="dxa"/>
              <w:right w:w="108" w:type="dxa"/>
            </w:tcMar>
            <w:vAlign w:val="center"/>
          </w:tcPr>
          <w:p w14:paraId="01CF64CF">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楚雄城市（含鹿城、东瓜）</w:t>
            </w:r>
          </w:p>
        </w:tc>
        <w:tc>
          <w:tcPr>
            <w:tcW w:w="764" w:type="pct"/>
            <w:tcMar>
              <w:top w:w="15" w:type="dxa"/>
              <w:left w:w="108" w:type="dxa"/>
              <w:bottom w:w="0" w:type="dxa"/>
              <w:right w:w="108" w:type="dxa"/>
            </w:tcMar>
            <w:vAlign w:val="center"/>
          </w:tcPr>
          <w:p w14:paraId="0C5B04D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1</w:t>
            </w:r>
          </w:p>
        </w:tc>
      </w:tr>
      <w:tr w14:paraId="482D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32" w:type="pct"/>
            <w:vMerge w:val="restart"/>
            <w:tcMar>
              <w:top w:w="15" w:type="dxa"/>
              <w:left w:w="108" w:type="dxa"/>
              <w:bottom w:w="0" w:type="dxa"/>
              <w:right w:w="108" w:type="dxa"/>
            </w:tcMar>
            <w:vAlign w:val="center"/>
          </w:tcPr>
          <w:p w14:paraId="5CDEE22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小城市</w:t>
            </w:r>
          </w:p>
          <w:p w14:paraId="6D97DA02">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7593786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Ⅰ型小城市</w:t>
            </w:r>
          </w:p>
          <w:p w14:paraId="357F2D6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20≤P＜50</w:t>
            </w:r>
          </w:p>
        </w:tc>
        <w:tc>
          <w:tcPr>
            <w:tcW w:w="2560" w:type="pct"/>
            <w:tcMar>
              <w:top w:w="15" w:type="dxa"/>
              <w:left w:w="108" w:type="dxa"/>
              <w:bottom w:w="0" w:type="dxa"/>
              <w:right w:w="108" w:type="dxa"/>
            </w:tcMar>
            <w:vAlign w:val="center"/>
          </w:tcPr>
          <w:p w14:paraId="6AFCEF5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禄丰城市</w:t>
            </w:r>
          </w:p>
        </w:tc>
        <w:tc>
          <w:tcPr>
            <w:tcW w:w="764" w:type="pct"/>
            <w:tcMar>
              <w:top w:w="15" w:type="dxa"/>
              <w:left w:w="108" w:type="dxa"/>
              <w:bottom w:w="0" w:type="dxa"/>
              <w:right w:w="108" w:type="dxa"/>
            </w:tcMar>
            <w:vAlign w:val="center"/>
          </w:tcPr>
          <w:p w14:paraId="0476447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1</w:t>
            </w:r>
          </w:p>
        </w:tc>
      </w:tr>
      <w:tr w14:paraId="5301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32" w:type="pct"/>
            <w:vMerge w:val="continue"/>
            <w:tcMar>
              <w:top w:w="15" w:type="dxa"/>
              <w:left w:w="108" w:type="dxa"/>
              <w:bottom w:w="0" w:type="dxa"/>
              <w:right w:w="108" w:type="dxa"/>
            </w:tcMar>
            <w:vAlign w:val="center"/>
          </w:tcPr>
          <w:p w14:paraId="2474926D">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27222B3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Ⅱ型小城市</w:t>
            </w:r>
          </w:p>
          <w:p w14:paraId="64E027E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P＜20</w:t>
            </w:r>
          </w:p>
        </w:tc>
        <w:tc>
          <w:tcPr>
            <w:tcW w:w="2560" w:type="pct"/>
            <w:tcMar>
              <w:top w:w="15" w:type="dxa"/>
              <w:left w:w="108" w:type="dxa"/>
              <w:bottom w:w="0" w:type="dxa"/>
              <w:right w:w="108" w:type="dxa"/>
            </w:tcMar>
            <w:vAlign w:val="center"/>
          </w:tcPr>
          <w:p w14:paraId="0668BE9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双柏县城、牟定县城、南华县城、姚安县城、大姚县城、永仁县城、元谋县城、武定县城</w:t>
            </w:r>
          </w:p>
        </w:tc>
        <w:tc>
          <w:tcPr>
            <w:tcW w:w="764" w:type="pct"/>
            <w:tcMar>
              <w:top w:w="15" w:type="dxa"/>
              <w:left w:w="108" w:type="dxa"/>
              <w:bottom w:w="0" w:type="dxa"/>
              <w:right w:w="108" w:type="dxa"/>
            </w:tcMar>
            <w:vAlign w:val="center"/>
          </w:tcPr>
          <w:p w14:paraId="7B64544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8</w:t>
            </w:r>
          </w:p>
        </w:tc>
      </w:tr>
      <w:tr w14:paraId="40FC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32" w:type="pct"/>
            <w:vMerge w:val="restart"/>
            <w:tcMar>
              <w:top w:w="15" w:type="dxa"/>
              <w:left w:w="108" w:type="dxa"/>
              <w:bottom w:w="0" w:type="dxa"/>
              <w:right w:w="108" w:type="dxa"/>
            </w:tcMar>
            <w:vAlign w:val="center"/>
          </w:tcPr>
          <w:p w14:paraId="7873B98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小城镇</w:t>
            </w:r>
          </w:p>
          <w:p w14:paraId="0AA1E6B6">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001C861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乡镇5≤P</w:t>
            </w:r>
          </w:p>
        </w:tc>
        <w:tc>
          <w:tcPr>
            <w:tcW w:w="2560" w:type="pct"/>
            <w:tcMar>
              <w:top w:w="15" w:type="dxa"/>
              <w:left w:w="108" w:type="dxa"/>
              <w:bottom w:w="0" w:type="dxa"/>
              <w:right w:w="108" w:type="dxa"/>
            </w:tcMar>
            <w:vAlign w:val="center"/>
          </w:tcPr>
          <w:p w14:paraId="6151267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w:t>
            </w:r>
          </w:p>
        </w:tc>
        <w:tc>
          <w:tcPr>
            <w:tcW w:w="764" w:type="pct"/>
            <w:tcMar>
              <w:top w:w="15" w:type="dxa"/>
              <w:left w:w="108" w:type="dxa"/>
              <w:bottom w:w="0" w:type="dxa"/>
              <w:right w:w="108" w:type="dxa"/>
            </w:tcMar>
            <w:vAlign w:val="center"/>
          </w:tcPr>
          <w:p w14:paraId="013DF56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0</w:t>
            </w:r>
          </w:p>
        </w:tc>
      </w:tr>
      <w:tr w14:paraId="7C48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32" w:type="pct"/>
            <w:vMerge w:val="continue"/>
            <w:tcMar>
              <w:top w:w="15" w:type="dxa"/>
              <w:left w:w="108" w:type="dxa"/>
              <w:bottom w:w="0" w:type="dxa"/>
              <w:right w:w="108" w:type="dxa"/>
            </w:tcMar>
            <w:vAlign w:val="center"/>
          </w:tcPr>
          <w:p w14:paraId="2EC43D95">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397B591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乡镇3≤P＜5</w:t>
            </w:r>
          </w:p>
        </w:tc>
        <w:tc>
          <w:tcPr>
            <w:tcW w:w="2560" w:type="pct"/>
            <w:tcMar>
              <w:top w:w="15" w:type="dxa"/>
              <w:left w:w="108" w:type="dxa"/>
              <w:bottom w:w="0" w:type="dxa"/>
              <w:right w:w="108" w:type="dxa"/>
            </w:tcMar>
            <w:vAlign w:val="center"/>
          </w:tcPr>
          <w:p w14:paraId="4C14B625">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广通</w:t>
            </w:r>
          </w:p>
        </w:tc>
        <w:tc>
          <w:tcPr>
            <w:tcW w:w="764" w:type="pct"/>
            <w:tcMar>
              <w:top w:w="15" w:type="dxa"/>
              <w:left w:w="108" w:type="dxa"/>
              <w:bottom w:w="0" w:type="dxa"/>
              <w:right w:w="108" w:type="dxa"/>
            </w:tcMar>
            <w:vAlign w:val="center"/>
          </w:tcPr>
          <w:p w14:paraId="519C828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1</w:t>
            </w:r>
          </w:p>
        </w:tc>
      </w:tr>
      <w:tr w14:paraId="1B1D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32" w:type="pct"/>
            <w:vMerge w:val="continue"/>
            <w:tcMar>
              <w:top w:w="15" w:type="dxa"/>
              <w:left w:w="108" w:type="dxa"/>
              <w:bottom w:w="0" w:type="dxa"/>
              <w:right w:w="108" w:type="dxa"/>
            </w:tcMar>
            <w:vAlign w:val="center"/>
          </w:tcPr>
          <w:p w14:paraId="029BA581">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2828EA0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乡镇1≤P＜3</w:t>
            </w:r>
          </w:p>
        </w:tc>
        <w:tc>
          <w:tcPr>
            <w:tcW w:w="2560" w:type="pct"/>
            <w:tcMar>
              <w:top w:w="15" w:type="dxa"/>
              <w:left w:w="108" w:type="dxa"/>
              <w:bottom w:w="0" w:type="dxa"/>
              <w:right w:w="108" w:type="dxa"/>
            </w:tcMar>
            <w:vAlign w:val="center"/>
          </w:tcPr>
          <w:p w14:paraId="44A7EAA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一平浪、沙桥、苍岭、东华、黄瓜园、碧城、猫街</w:t>
            </w:r>
          </w:p>
        </w:tc>
        <w:tc>
          <w:tcPr>
            <w:tcW w:w="764" w:type="pct"/>
            <w:tcMar>
              <w:top w:w="15" w:type="dxa"/>
              <w:left w:w="108" w:type="dxa"/>
              <w:bottom w:w="0" w:type="dxa"/>
              <w:right w:w="108" w:type="dxa"/>
            </w:tcMar>
            <w:vAlign w:val="center"/>
          </w:tcPr>
          <w:p w14:paraId="78E2427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7</w:t>
            </w:r>
          </w:p>
        </w:tc>
      </w:tr>
      <w:tr w14:paraId="30EF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32" w:type="pct"/>
            <w:vMerge w:val="continue"/>
            <w:tcMar>
              <w:top w:w="15" w:type="dxa"/>
              <w:left w:w="108" w:type="dxa"/>
              <w:bottom w:w="0" w:type="dxa"/>
              <w:right w:w="108" w:type="dxa"/>
            </w:tcMar>
            <w:vAlign w:val="center"/>
          </w:tcPr>
          <w:p w14:paraId="5ABF3CF5">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042" w:type="pct"/>
            <w:tcMar>
              <w:top w:w="15" w:type="dxa"/>
              <w:left w:w="108" w:type="dxa"/>
              <w:bottom w:w="0" w:type="dxa"/>
              <w:right w:w="108" w:type="dxa"/>
            </w:tcMar>
            <w:vAlign w:val="center"/>
          </w:tcPr>
          <w:p w14:paraId="75926BC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乡镇P＜1</w:t>
            </w:r>
          </w:p>
        </w:tc>
        <w:tc>
          <w:tcPr>
            <w:tcW w:w="2560" w:type="pct"/>
            <w:tcMar>
              <w:top w:w="15" w:type="dxa"/>
              <w:left w:w="108" w:type="dxa"/>
              <w:bottom w:w="0" w:type="dxa"/>
              <w:right w:w="108" w:type="dxa"/>
            </w:tcMar>
            <w:vAlign w:val="center"/>
          </w:tcPr>
          <w:p w14:paraId="0D3CA26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吕合、紫溪、子午、三街、八角、中山、新村、西舍路，仁兴、勤丰、彩云、土官、黑井、和平、恐龙山，大庄、</w:t>
            </w:r>
            <w:r>
              <w:rPr>
                <w:rFonts w:hint="eastAsia" w:ascii="等线 Light" w:hAnsi="等线 Light" w:eastAsia="等线 Light" w:cs="等线 Light"/>
                <w:color w:val="auto"/>
                <w:sz w:val="24"/>
                <w:szCs w:val="24"/>
                <w:highlight w:val="none"/>
              </w:rPr>
              <w:t>𥔲</w:t>
            </w:r>
            <w:r>
              <w:rPr>
                <w:rFonts w:hint="eastAsia" w:eastAsia="方正仿宋_GBK"/>
                <w:color w:val="auto"/>
                <w:sz w:val="24"/>
                <w:szCs w:val="24"/>
                <w:highlight w:val="none"/>
              </w:rPr>
              <w:t>嘉、法脿、大麦地，新桥、江坡、凤屯，五街、红土坡、兔街、马街，光禄、前场、弥兴、太平、官屯，石羊、六苴、龙街、新街、赵家店、三岔河、桂花，宜就、中和，羊街，高桥、插甸、白路、万德、己衣、大过口、大地基、树苴，中村、妥安、高峰，安龙堡、爱尼山、独田，蟠猫、戌街、安乐，雨露、一街、罗武庄、五顶山，适中、左门、大河口，昙华、湾碧傣族傈僳族、铁锁、三台，莲池、维的、猛虎、永兴傣族，老城、物茂、江边、新华、平田、凉山、姜驿，田心、发窝、环州、东坡</w:t>
            </w:r>
          </w:p>
        </w:tc>
        <w:tc>
          <w:tcPr>
            <w:tcW w:w="764" w:type="pct"/>
            <w:tcMar>
              <w:top w:w="15" w:type="dxa"/>
              <w:left w:w="108" w:type="dxa"/>
              <w:bottom w:w="0" w:type="dxa"/>
              <w:right w:w="108" w:type="dxa"/>
            </w:tcMar>
            <w:vAlign w:val="center"/>
          </w:tcPr>
          <w:p w14:paraId="6A2F3AC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84</w:t>
            </w:r>
          </w:p>
        </w:tc>
      </w:tr>
    </w:tbl>
    <w:p w14:paraId="5C7AD75C">
      <w:pPr>
        <w:pStyle w:val="6"/>
        <w:rPr>
          <w:color w:val="auto"/>
          <w:highlight w:val="none"/>
        </w:rPr>
      </w:pPr>
      <w:r>
        <w:rPr>
          <w:color w:val="auto"/>
          <w:highlight w:val="none"/>
        </w:rPr>
        <w:t>三、强化</w:t>
      </w:r>
      <w:r>
        <w:rPr>
          <w:rFonts w:hint="eastAsia"/>
          <w:color w:val="auto"/>
          <w:highlight w:val="none"/>
        </w:rPr>
        <w:t>特色空间形态引导</w:t>
      </w:r>
    </w:p>
    <w:p w14:paraId="6FA4DB8E">
      <w:pPr>
        <w:ind w:firstLine="600"/>
        <w:rPr>
          <w:rFonts w:eastAsia="方正仿宋_GBK"/>
          <w:color w:val="auto"/>
          <w:sz w:val="30"/>
          <w:szCs w:val="30"/>
          <w:highlight w:val="none"/>
        </w:rPr>
      </w:pPr>
      <w:r>
        <w:rPr>
          <w:rFonts w:ascii="方正楷体_GBK" w:eastAsia="方正楷体_GBK"/>
          <w:color w:val="auto"/>
          <w:sz w:val="30"/>
          <w:szCs w:val="30"/>
          <w:highlight w:val="none"/>
        </w:rPr>
        <w:t>以城镇圈作为新型城镇化的主体形态。</w:t>
      </w:r>
      <w:r>
        <w:rPr>
          <w:rFonts w:hint="eastAsia" w:eastAsia="方正仿宋_GBK"/>
          <w:color w:val="auto"/>
          <w:sz w:val="30"/>
          <w:szCs w:val="30"/>
          <w:highlight w:val="none"/>
        </w:rPr>
        <w:t>以现代化的城镇圈提升楚雄、禄丰两个中心城市的发展能级，构建以中心城市为核心，辐射半小时范围内县城、小城镇、乡村，集就业、生活、服务为一体的城乡融合发展组群。有效配置公共服务资源，统筹配置公共服务设施，促进城镇圈内产城融合、职住平衡、资源互补、服务共享，实现组团式统筹发展、城乡发展一体化。</w:t>
      </w:r>
    </w:p>
    <w:p w14:paraId="2287CF73">
      <w:pPr>
        <w:ind w:firstLine="600"/>
        <w:rPr>
          <w:rFonts w:eastAsia="方正仿宋_GBK"/>
          <w:color w:val="auto"/>
          <w:sz w:val="30"/>
          <w:szCs w:val="30"/>
          <w:highlight w:val="none"/>
        </w:rPr>
      </w:pPr>
      <w:r>
        <w:rPr>
          <w:rFonts w:ascii="方正楷体_GBK" w:eastAsia="方正楷体_GBK"/>
          <w:color w:val="auto"/>
          <w:sz w:val="30"/>
          <w:szCs w:val="30"/>
          <w:highlight w:val="none"/>
        </w:rPr>
        <w:t>以城镇组团推进楚北地区</w:t>
      </w:r>
      <w:r>
        <w:rPr>
          <w:rFonts w:hint="eastAsia" w:ascii="方正楷体_GBK" w:eastAsia="方正楷体_GBK"/>
          <w:color w:val="auto"/>
          <w:sz w:val="30"/>
          <w:szCs w:val="30"/>
          <w:highlight w:val="none"/>
        </w:rPr>
        <w:t>错位</w:t>
      </w:r>
      <w:r>
        <w:rPr>
          <w:rFonts w:ascii="方正楷体_GBK" w:eastAsia="方正楷体_GBK"/>
          <w:color w:val="auto"/>
          <w:sz w:val="30"/>
          <w:szCs w:val="30"/>
          <w:highlight w:val="none"/>
        </w:rPr>
        <w:t>协作。</w:t>
      </w:r>
      <w:r>
        <w:rPr>
          <w:rFonts w:hint="eastAsia" w:eastAsia="方正仿宋_GBK"/>
          <w:color w:val="auto"/>
          <w:sz w:val="30"/>
          <w:szCs w:val="30"/>
          <w:highlight w:val="none"/>
        </w:rPr>
        <w:t>引导楚北区域永仁、元谋、姚安、大姚合作发展、互补发展、错位发展，提升规模效应和辐射带动能力，增强整体竞争力。发挥县城连接城市、服务乡村作用，打破城乡界限，做大做强县城增长极，引导产业、人口、要素等向县城集聚，增强对乡村的辐射带动能力，促进县城基础设施和公共服务向乡村延伸覆盖，强化县城与邻近城市发展的衔接配合。</w:t>
      </w:r>
    </w:p>
    <w:p w14:paraId="4F2E21CE">
      <w:pPr>
        <w:ind w:firstLine="600"/>
        <w:rPr>
          <w:rFonts w:ascii="楷体" w:hAnsi="楷体" w:eastAsia="楷体"/>
          <w:color w:val="auto"/>
          <w:highlight w:val="none"/>
        </w:rPr>
      </w:pPr>
      <w:r>
        <w:rPr>
          <w:rFonts w:hint="eastAsia" w:ascii="方正楷体_GBK" w:eastAsia="方正楷体_GBK"/>
          <w:color w:val="auto"/>
          <w:sz w:val="30"/>
          <w:szCs w:val="30"/>
          <w:highlight w:val="none"/>
        </w:rPr>
        <w:t>引导城镇人口向城镇圈聚集。</w:t>
      </w:r>
      <w:r>
        <w:rPr>
          <w:rFonts w:eastAsia="方正仿宋_GBK"/>
          <w:color w:val="auto"/>
          <w:sz w:val="30"/>
          <w:szCs w:val="30"/>
          <w:highlight w:val="none"/>
        </w:rPr>
        <w:t>将城镇圈培育成推进全州城镇化发展的主要载体，</w:t>
      </w:r>
      <w:r>
        <w:rPr>
          <w:rFonts w:hint="eastAsia" w:eastAsia="方正仿宋_GBK"/>
          <w:color w:val="auto"/>
          <w:sz w:val="30"/>
          <w:szCs w:val="30"/>
          <w:highlight w:val="none"/>
        </w:rPr>
        <w:t>到2035年，两个城镇圈集聚全州 80%以上的城镇人口</w:t>
      </w:r>
      <w:r>
        <w:rPr>
          <w:rFonts w:hint="eastAsia" w:eastAsia="方正仿宋_GBK"/>
          <w:color w:val="auto"/>
          <w:sz w:val="30"/>
          <w:szCs w:val="30"/>
          <w:highlight w:val="none"/>
          <w:vertAlign w:val="superscript"/>
        </w:rPr>
        <w:footnoteReference w:id="0"/>
      </w:r>
      <w:r>
        <w:rPr>
          <w:rFonts w:hint="eastAsia" w:eastAsia="方正仿宋_GBK"/>
          <w:color w:val="auto"/>
          <w:sz w:val="30"/>
          <w:szCs w:val="30"/>
          <w:highlight w:val="none"/>
        </w:rPr>
        <w:t>。楚雄城镇圈人口外流得到有效缓解，人口总量略增，城镇人口大幅增长，聚集全州50%左右的人口、60%以上的城镇人口。禄丰城镇圈城镇化水平超过全州平均水平，聚集全州25%左右的人口、20%以上的城镇人口。其余城镇人口优先向楚北4县县城半小时辐射范围内聚集</w:t>
      </w:r>
      <w:r>
        <w:rPr>
          <w:rFonts w:eastAsia="方正仿宋_GBK"/>
          <w:color w:val="auto"/>
          <w:sz w:val="30"/>
          <w:szCs w:val="30"/>
          <w:highlight w:val="none"/>
        </w:rPr>
        <w:t>。</w:t>
      </w:r>
    </w:p>
    <w:p w14:paraId="37D3AA10">
      <w:pPr>
        <w:widowControl/>
        <w:adjustRightInd/>
        <w:snapToGrid/>
        <w:spacing w:line="440" w:lineRule="exact"/>
        <w:ind w:firstLine="0" w:firstLineChars="0"/>
        <w:jc w:val="center"/>
        <w:outlineLvl w:val="7"/>
        <w:rPr>
          <w:b/>
          <w:color w:val="auto"/>
          <w:kern w:val="0"/>
          <w:sz w:val="28"/>
          <w:szCs w:val="28"/>
          <w:highlight w:val="none"/>
          <w:lang w:val="zh-CN"/>
        </w:rPr>
      </w:pPr>
      <w:r>
        <w:rPr>
          <w:b/>
          <w:color w:val="auto"/>
          <w:kern w:val="0"/>
          <w:sz w:val="28"/>
          <w:szCs w:val="28"/>
          <w:highlight w:val="none"/>
          <w:lang w:val="zh-CN"/>
        </w:rPr>
        <w:t>专栏</w:t>
      </w:r>
      <w:r>
        <w:rPr>
          <w:rFonts w:hint="eastAsia"/>
          <w:b/>
          <w:color w:val="auto"/>
          <w:kern w:val="0"/>
          <w:sz w:val="28"/>
          <w:szCs w:val="28"/>
          <w:highlight w:val="none"/>
          <w:lang w:val="en-US" w:eastAsia="zh-CN"/>
        </w:rPr>
        <w:t>10</w:t>
      </w:r>
      <w:r>
        <w:rPr>
          <w:b/>
          <w:color w:val="auto"/>
          <w:kern w:val="0"/>
          <w:sz w:val="28"/>
          <w:szCs w:val="28"/>
          <w:highlight w:val="none"/>
          <w:lang w:val="zh-CN"/>
        </w:rPr>
        <w:t xml:space="preserve"> 城镇空间形态</w:t>
      </w:r>
    </w:p>
    <w:tbl>
      <w:tblPr>
        <w:tblStyle w:val="32"/>
        <w:tblW w:w="92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01"/>
        <w:gridCol w:w="6254"/>
      </w:tblGrid>
      <w:tr w14:paraId="2DA1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blHeader/>
        </w:trPr>
        <w:tc>
          <w:tcPr>
            <w:tcW w:w="2978" w:type="dxa"/>
            <w:gridSpan w:val="2"/>
            <w:vAlign w:val="center"/>
          </w:tcPr>
          <w:p w14:paraId="4E2FF39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空间形态</w:t>
            </w:r>
          </w:p>
        </w:tc>
        <w:tc>
          <w:tcPr>
            <w:tcW w:w="6254" w:type="dxa"/>
            <w:vAlign w:val="center"/>
          </w:tcPr>
          <w:p w14:paraId="209FCDA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定位要求</w:t>
            </w:r>
          </w:p>
        </w:tc>
      </w:tr>
      <w:tr w14:paraId="5C6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77" w:type="dxa"/>
            <w:vMerge w:val="restart"/>
            <w:vAlign w:val="center"/>
          </w:tcPr>
          <w:p w14:paraId="2301D5B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城镇圈</w:t>
            </w:r>
          </w:p>
        </w:tc>
        <w:tc>
          <w:tcPr>
            <w:tcW w:w="1701" w:type="dxa"/>
            <w:vAlign w:val="center"/>
          </w:tcPr>
          <w:p w14:paraId="1871AFA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楚雄城镇圈</w:t>
            </w:r>
          </w:p>
        </w:tc>
        <w:tc>
          <w:tcPr>
            <w:tcW w:w="6254" w:type="dxa"/>
            <w:vAlign w:val="center"/>
          </w:tcPr>
          <w:p w14:paraId="5C6CFE3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全面提升楚雄城市能级，扩大中心城市辐射带动能力</w:t>
            </w:r>
            <w:r>
              <w:rPr>
                <w:rFonts w:hint="eastAsia" w:eastAsia="方正仿宋_GBK"/>
                <w:color w:val="auto"/>
                <w:sz w:val="24"/>
                <w:szCs w:val="24"/>
                <w:highlight w:val="none"/>
              </w:rPr>
              <w:t>。</w:t>
            </w:r>
          </w:p>
        </w:tc>
      </w:tr>
      <w:tr w14:paraId="1258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277" w:type="dxa"/>
            <w:vMerge w:val="continue"/>
            <w:vAlign w:val="center"/>
          </w:tcPr>
          <w:p w14:paraId="075FDB91">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1701" w:type="dxa"/>
            <w:vAlign w:val="center"/>
          </w:tcPr>
          <w:p w14:paraId="0376F47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禄丰城镇圈</w:t>
            </w:r>
          </w:p>
        </w:tc>
        <w:tc>
          <w:tcPr>
            <w:tcW w:w="6254" w:type="dxa"/>
            <w:vAlign w:val="center"/>
          </w:tcPr>
          <w:p w14:paraId="058D21D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促进禄丰、武定协同做强，增强城镇人口和就业吸纳能力</w:t>
            </w:r>
            <w:r>
              <w:rPr>
                <w:rFonts w:hint="eastAsia" w:eastAsia="方正仿宋_GBK"/>
                <w:color w:val="auto"/>
                <w:sz w:val="24"/>
                <w:szCs w:val="24"/>
                <w:highlight w:val="none"/>
              </w:rPr>
              <w:t>。</w:t>
            </w:r>
          </w:p>
        </w:tc>
      </w:tr>
      <w:tr w14:paraId="03FD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77" w:type="dxa"/>
            <w:vAlign w:val="center"/>
          </w:tcPr>
          <w:p w14:paraId="59D74DD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城镇组团</w:t>
            </w:r>
          </w:p>
        </w:tc>
        <w:tc>
          <w:tcPr>
            <w:tcW w:w="1701" w:type="dxa"/>
            <w:vAlign w:val="center"/>
          </w:tcPr>
          <w:p w14:paraId="33D215B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楚北城镇组团</w:t>
            </w:r>
          </w:p>
        </w:tc>
        <w:tc>
          <w:tcPr>
            <w:tcW w:w="6254" w:type="dxa"/>
            <w:vAlign w:val="center"/>
          </w:tcPr>
          <w:p w14:paraId="1D98A4F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增强楚北区域整体竞争力，提升规模效应和辐射带动能力</w:t>
            </w:r>
            <w:r>
              <w:rPr>
                <w:rFonts w:hint="eastAsia" w:eastAsia="方正仿宋_GBK"/>
                <w:color w:val="auto"/>
                <w:sz w:val="24"/>
                <w:szCs w:val="24"/>
                <w:highlight w:val="none"/>
              </w:rPr>
              <w:t>。</w:t>
            </w:r>
          </w:p>
        </w:tc>
      </w:tr>
    </w:tbl>
    <w:p w14:paraId="2A379F87">
      <w:pPr>
        <w:keepNext/>
        <w:keepLines/>
        <w:spacing w:line="700" w:lineRule="exact"/>
        <w:ind w:firstLine="0" w:firstLineChars="0"/>
        <w:jc w:val="center"/>
        <w:outlineLvl w:val="1"/>
        <w:rPr>
          <w:rFonts w:eastAsia="方正黑体简体"/>
          <w:b/>
          <w:bCs/>
          <w:color w:val="auto"/>
          <w:highlight w:val="none"/>
          <w:lang w:val="zh-CN"/>
        </w:rPr>
      </w:pPr>
      <w:bookmarkStart w:id="191" w:name="_Toc3237"/>
      <w:bookmarkStart w:id="192" w:name="_Toc131433173"/>
      <w:bookmarkStart w:id="193" w:name="_Toc131433339"/>
      <w:bookmarkStart w:id="194" w:name="_Toc184639391"/>
      <w:r>
        <w:rPr>
          <w:rFonts w:eastAsia="黑体"/>
          <w:b/>
          <w:bCs/>
          <w:color w:val="auto"/>
          <w:highlight w:val="none"/>
          <w:lang w:val="zh-CN"/>
        </w:rPr>
        <w:t>第二节</w:t>
      </w:r>
      <w:bookmarkEnd w:id="191"/>
      <w:r>
        <w:rPr>
          <w:rFonts w:eastAsia="方正黑体简体"/>
          <w:b/>
          <w:bCs/>
          <w:color w:val="auto"/>
          <w:highlight w:val="none"/>
          <w:lang w:val="zh-CN"/>
        </w:rPr>
        <w:t xml:space="preserve"> </w:t>
      </w:r>
      <w:bookmarkEnd w:id="192"/>
      <w:bookmarkEnd w:id="193"/>
      <w:r>
        <w:rPr>
          <w:rFonts w:hint="eastAsia" w:eastAsia="黑体"/>
          <w:b/>
          <w:bCs/>
          <w:color w:val="auto"/>
          <w:highlight w:val="none"/>
          <w:lang w:val="zh-CN"/>
        </w:rPr>
        <w:t>推进一体化城镇发展形态</w:t>
      </w:r>
      <w:bookmarkEnd w:id="194"/>
    </w:p>
    <w:p w14:paraId="32EFC168">
      <w:pPr>
        <w:spacing w:line="560" w:lineRule="exact"/>
        <w:ind w:firstLine="0" w:firstLineChars="0"/>
        <w:jc w:val="left"/>
        <w:outlineLvl w:val="2"/>
        <w:rPr>
          <w:rFonts w:ascii="黑体" w:hAnsi="黑体" w:eastAsia="黑体"/>
          <w:b/>
          <w:color w:val="auto"/>
          <w:kern w:val="0"/>
          <w:highlight w:val="none"/>
        </w:rPr>
      </w:pPr>
      <w:r>
        <w:rPr>
          <w:rFonts w:ascii="黑体" w:hAnsi="黑体" w:eastAsia="黑体"/>
          <w:b/>
          <w:color w:val="auto"/>
          <w:kern w:val="0"/>
          <w:highlight w:val="none"/>
        </w:rPr>
        <w:t>一、建设楚雄城镇圈</w:t>
      </w:r>
    </w:p>
    <w:p w14:paraId="32DB7193">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打造滇中崛起增长极战略核心区。</w:t>
      </w:r>
      <w:r>
        <w:rPr>
          <w:rFonts w:hint="eastAsia" w:eastAsia="方正仿宋_GBK"/>
          <w:color w:val="auto"/>
          <w:sz w:val="30"/>
          <w:szCs w:val="30"/>
          <w:highlight w:val="none"/>
        </w:rPr>
        <w:t>推进州域中部楚雄市、南华县、牟定县、双柏县和禄丰市广通镇构建楚雄城镇圈，做强楚雄中心城市，带动南华、牟定、双柏、广通协同发展，建设滇中高原山地城市组团化和一体化的发展示范区。</w:t>
      </w:r>
    </w:p>
    <w:p w14:paraId="27A0D01F">
      <w:pPr>
        <w:ind w:firstLine="600"/>
        <w:rPr>
          <w:color w:val="auto"/>
          <w:sz w:val="30"/>
          <w:szCs w:val="30"/>
          <w:highlight w:val="none"/>
        </w:rPr>
      </w:pPr>
      <w:r>
        <w:rPr>
          <w:rFonts w:hint="eastAsia" w:ascii="方正楷体_GBK" w:eastAsia="方正楷体_GBK"/>
          <w:color w:val="auto"/>
          <w:sz w:val="30"/>
          <w:szCs w:val="30"/>
          <w:highlight w:val="none"/>
        </w:rPr>
        <w:t>强化城市间产业分工协作。</w:t>
      </w:r>
      <w:r>
        <w:rPr>
          <w:rFonts w:hint="eastAsia" w:eastAsia="方正仿宋_GBK"/>
          <w:color w:val="auto"/>
          <w:sz w:val="30"/>
          <w:szCs w:val="30"/>
          <w:highlight w:val="none"/>
        </w:rPr>
        <w:t>以推动城市间专业化分工协作为导向，推动楚雄中心城市产业高端化发展，增强核心竞争力和辐射带动能力，协同南华、牟定、双柏等依托多层次基础设施网络共同承接滇中城市群、昆明都市圈产业转移，构建中心城市、县城和小城镇特色鲜明、优势互补的发展格局。统筹整合城镇圈内新区、园区等各类平台，支撑建设一体化发展和承接产业转移示范区，推动创新链和产业链融合发展。贯彻“强州府”行动，支撑楚雄建设引领周边、支撑全州、辐射滇西、融入滇中、服务全省的现代化区域中心城市。将南华建设成为城镇圈西北门户，支撑建设滇中城市群向西开放的门户、服务滇中连接滇西区域性商贸物流中心、全国野生食用菌交易和集散中心、绿色食品生产加工物流基地和民族情美食城。将牟定建设成为城镇圈西部交通节点，楚雄区域性中心城市北部卫星城，支撑建设楚雄主城的工业发展拓展片区、区域新兴外向型综合型物流片区、具有浓郁的“左脚歌舞”民族风情和彝族文化特色的旅游城市。将双柏建设成为城镇圈南部重要节点，森林康旅目的地、民族文化体验区、云药之乡新高地。将广通建设成为交通门户型城镇。</w:t>
      </w:r>
    </w:p>
    <w:p w14:paraId="5F5D062F">
      <w:pPr>
        <w:ind w:firstLine="600"/>
        <w:rPr>
          <w:color w:val="auto"/>
          <w:sz w:val="30"/>
          <w:szCs w:val="30"/>
          <w:highlight w:val="none"/>
        </w:rPr>
      </w:pPr>
      <w:r>
        <w:rPr>
          <w:rFonts w:hint="eastAsia" w:ascii="方正楷体_GBK" w:eastAsia="方正楷体_GBK"/>
          <w:color w:val="auto"/>
          <w:sz w:val="30"/>
          <w:szCs w:val="30"/>
          <w:highlight w:val="none"/>
        </w:rPr>
        <w:t>推动楚南牟双广同城化组团化布局。</w:t>
      </w:r>
      <w:r>
        <w:rPr>
          <w:rFonts w:hint="eastAsia" w:eastAsia="方正仿宋_GBK"/>
          <w:color w:val="auto"/>
          <w:sz w:val="30"/>
          <w:szCs w:val="30"/>
          <w:highlight w:val="none"/>
        </w:rPr>
        <w:t>构建“做强中心、强化支点、双向互通、城乡融合”的组团式布局结构，“做强中心”即以楚雄市主城区及周边吕合镇、紫溪镇、东华镇、子午镇、苍岭镇、广通镇作为同城化组团区域共同构建“一核六片”都市区空间布局，强化中心的龙头作用和集聚带动效应；“强化支点”即加快推进牟定、南华、双柏、禄丰广通四个支点城（镇）建设，逐步完善南华、牟定、双柏城市综合功能，强化县域中心的辐射能力；“双向互通”即加快构建区域双向互通的“1+3+1”（楚雄+南华、双柏、牟定+禄丰广通）环楚雄“半小时交通圈”的一体化交通格局；“城乡融合”即培育节点城镇，推动各类要素在城乡双向流动，促进城乡融合发展。突出各自功能定位和优势条件，推进现代产业及物流向“楚南牟双广”区域空间聚集，形成各具特色、优势互补、竞相发展的产业格局。楚雄市要建设滇中崛起增长极核心引擎，打造光伏和生物医药为主导的产业集聚基地；南华县要努力建设全国野生菌交易集散地和交易中心；牟定县要努力建设集收储运的大宗固体废弃物综合利用示范基地；双柏县要建设绿色食品加工制造及林产品加工产业集聚区；禄丰市广通镇要与楚雄协同物流产业发展，拓展物流产品，打造广通综合物流枢纽基地。</w:t>
      </w:r>
    </w:p>
    <w:p w14:paraId="0EC31983">
      <w:pPr>
        <w:ind w:firstLine="600"/>
        <w:rPr>
          <w:color w:val="auto"/>
          <w:sz w:val="30"/>
          <w:szCs w:val="30"/>
          <w:highlight w:val="none"/>
        </w:rPr>
      </w:pPr>
      <w:r>
        <w:rPr>
          <w:rFonts w:hint="eastAsia" w:ascii="方正楷体_GBK" w:eastAsia="方正楷体_GBK"/>
          <w:color w:val="auto"/>
          <w:sz w:val="30"/>
          <w:szCs w:val="30"/>
          <w:highlight w:val="none"/>
        </w:rPr>
        <w:t>加快城际交通基础设施建设。</w:t>
      </w:r>
      <w:r>
        <w:rPr>
          <w:rFonts w:hint="eastAsia" w:eastAsia="方正仿宋_GBK"/>
          <w:color w:val="auto"/>
          <w:sz w:val="30"/>
          <w:szCs w:val="30"/>
          <w:highlight w:val="none"/>
        </w:rPr>
        <w:t>以增强城镇圈基础设施连接性贯通性为重点，以推动一体化规划建设管护为抓手，织密网络、优化方式、畅通机制，加快构建楚雄城镇圈公路和城际交通网。依托民航、铁路、公路等客运站场，全面构建州域门户综合客运枢纽体系。推动楚雄、南华、牟定、双柏、广通等主要客运站的便捷连通，增强楚雄北站客运枢纽功能。提升楚雄铁路枢纽站场衔接能力，推动与铁路货运场站、铁路物流基地衔接的铁路专用线、通站道路等设施建设，有效解决运输“最后一公里”问题。合理提高城镇圈城市路网密度，提升城市路网承载能力，优化快速、主干、次干、支路比例，畅通交通“大动脉”。大力推动城市停车设施建设，规范停车秩序，提升停车管理服务智慧化水平。完善同城客运服务，统筹推进城镇圈公交线路联网运营。</w:t>
      </w:r>
    </w:p>
    <w:p w14:paraId="6DB6614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促进优质公共服务资源共享。</w:t>
      </w:r>
      <w:r>
        <w:rPr>
          <w:rFonts w:hint="eastAsia" w:eastAsia="方正仿宋_GBK"/>
          <w:color w:val="auto"/>
          <w:sz w:val="30"/>
          <w:szCs w:val="30"/>
          <w:highlight w:val="none"/>
        </w:rPr>
        <w:t>以公共服务均衡普惠、整体提升为导向，统筹推动基本公共服务、社会保障、社会治理一体化发展，持续提高共建共享水平。推动公共服务从按行政等级配置向按常住人口规模配置转变。增加健康、养老、家政等服务多元化供给，鼓励城镇圈城市联建共建养老机构，加快城市设施适老化和无障碍改造。推动博物馆、剧院、体育场馆等共建共享。</w:t>
      </w:r>
    </w:p>
    <w:p w14:paraId="08BF8EF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率先实现城乡融合发展。</w:t>
      </w:r>
      <w:r>
        <w:rPr>
          <w:rFonts w:hint="eastAsia" w:eastAsia="方正仿宋_GBK"/>
          <w:color w:val="auto"/>
          <w:sz w:val="30"/>
          <w:szCs w:val="30"/>
          <w:highlight w:val="none"/>
        </w:rPr>
        <w:t>以促进城乡要素自由流动、平等交换和公共资源合理配置为重点，建立健全城乡融合发展体制机制，构筑功能一体、空间融合的城乡体系，在楚雄城镇圈率先实现城乡融合发展。培育建设联结城乡的功能平台，推动城乡要素跨界配置和产业有机融合发展。有序发展特色小城镇，实施特色小镇高质量发展工程，打造一批功能多样、产业集聚、设施完善的创新创业平台。优化提升现代农业产业园等园区，有序建设农村产业融合发展示范园，推动农业现代化</w:t>
      </w:r>
      <w:r>
        <w:rPr>
          <w:rFonts w:eastAsia="方正仿宋_GBK"/>
          <w:color w:val="auto"/>
          <w:sz w:val="30"/>
          <w:szCs w:val="30"/>
          <w:highlight w:val="none"/>
        </w:rPr>
        <w:t>。</w:t>
      </w:r>
    </w:p>
    <w:p w14:paraId="37DCFC17">
      <w:pPr>
        <w:pStyle w:val="6"/>
        <w:rPr>
          <w:color w:val="auto"/>
          <w:highlight w:val="none"/>
        </w:rPr>
      </w:pPr>
      <w:r>
        <w:rPr>
          <w:color w:val="auto"/>
          <w:highlight w:val="none"/>
        </w:rPr>
        <w:t>二、培育禄丰城镇圈</w:t>
      </w:r>
    </w:p>
    <w:p w14:paraId="33BFCE15">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打造州域工业产业重点布局区</w:t>
      </w:r>
      <w:r>
        <w:rPr>
          <w:rFonts w:ascii="方正楷体_GBK" w:eastAsia="方正楷体_GBK"/>
          <w:color w:val="auto"/>
          <w:sz w:val="30"/>
          <w:szCs w:val="30"/>
          <w:highlight w:val="none"/>
        </w:rPr>
        <w:t>。</w:t>
      </w:r>
      <w:r>
        <w:rPr>
          <w:rFonts w:hint="eastAsia" w:eastAsia="方正仿宋_GBK"/>
          <w:color w:val="auto"/>
          <w:sz w:val="30"/>
          <w:szCs w:val="30"/>
          <w:highlight w:val="none"/>
        </w:rPr>
        <w:t>推进州域东部构建以禄丰城市为核心，武定县城、禄丰产业园、武定产业园为支撑的禄丰城镇圈，支撑建设楚雄州与昆明市及滇中城市群其他区域对接合作的重要功能区。</w:t>
      </w:r>
    </w:p>
    <w:p w14:paraId="6051B94B">
      <w:pPr>
        <w:ind w:firstLine="600"/>
        <w:rPr>
          <w:color w:val="auto"/>
          <w:sz w:val="30"/>
          <w:szCs w:val="30"/>
          <w:highlight w:val="none"/>
        </w:rPr>
      </w:pPr>
      <w:r>
        <w:rPr>
          <w:rFonts w:hint="eastAsia" w:ascii="方正楷体_GBK" w:eastAsia="方正楷体_GBK"/>
          <w:color w:val="auto"/>
          <w:sz w:val="30"/>
          <w:szCs w:val="30"/>
          <w:highlight w:val="none"/>
        </w:rPr>
        <w:t>提升禄丰武定协同发展水平。</w:t>
      </w:r>
      <w:r>
        <w:rPr>
          <w:rFonts w:hint="eastAsia" w:eastAsia="方正仿宋_GBK"/>
          <w:color w:val="auto"/>
          <w:sz w:val="30"/>
          <w:szCs w:val="30"/>
          <w:highlight w:val="none"/>
        </w:rPr>
        <w:t>推动形成禄丰城区为核心，武定县城、禄丰产业园、武定产业园为重点，禄丰市广通、勤丰、碧城、仁兴、土官、和平和武定高桥、猫街、插甸等小城镇为支撑的协同发展格局。依托城镇圈内及周边已建成、在建、拟建的综合交通系统，推动制造业规模化、特色化、集群化发展，形成以先进制造为主的产业结构。</w:t>
      </w:r>
      <w:r>
        <w:rPr>
          <w:rFonts w:eastAsia="方正仿宋_GBK"/>
          <w:color w:val="auto"/>
          <w:sz w:val="30"/>
          <w:szCs w:val="30"/>
          <w:highlight w:val="none"/>
        </w:rPr>
        <w:t>禄丰、武定各有侧重带动南北两个片区发展，积极促进武定与昆明市禄劝县的一体化发展。注重罗次坝子的统筹发展，协调好农业生产与工业发展的关系、推动禄丰—武定沿线及周边城镇协同发展，加强城镇公共服务与市政基础设施建设，提升</w:t>
      </w:r>
      <w:r>
        <w:rPr>
          <w:rFonts w:hint="eastAsia" w:eastAsia="方正仿宋_GBK"/>
          <w:color w:val="auto"/>
          <w:sz w:val="30"/>
          <w:szCs w:val="30"/>
          <w:highlight w:val="none"/>
          <w:lang w:eastAsia="zh-CN"/>
        </w:rPr>
        <w:t>城乡人居环境</w:t>
      </w:r>
      <w:r>
        <w:rPr>
          <w:rFonts w:eastAsia="方正仿宋_GBK"/>
          <w:color w:val="auto"/>
          <w:sz w:val="30"/>
          <w:szCs w:val="30"/>
          <w:highlight w:val="none"/>
        </w:rPr>
        <w:t>，加快区域城镇化进程；保护区域生态环境，推进可持续发展。协调好耕地保护与城镇建设、产业发展的关系，保护区域生态环境，推进可持续发展。</w:t>
      </w:r>
    </w:p>
    <w:p w14:paraId="3A3E5EE5">
      <w:pPr>
        <w:ind w:firstLine="600"/>
        <w:rPr>
          <w:rFonts w:eastAsia="方正仿宋_GBK"/>
          <w:color w:val="auto"/>
          <w:sz w:val="30"/>
          <w:szCs w:val="30"/>
          <w:highlight w:val="none"/>
        </w:rPr>
      </w:pPr>
      <w:r>
        <w:rPr>
          <w:rFonts w:ascii="方正楷体_GBK" w:eastAsia="方正楷体_GBK"/>
          <w:color w:val="auto"/>
          <w:sz w:val="30"/>
          <w:szCs w:val="30"/>
          <w:highlight w:val="none"/>
        </w:rPr>
        <w:t>构建联动协作的空间结构。</w:t>
      </w:r>
      <w:r>
        <w:rPr>
          <w:rFonts w:hint="eastAsia" w:eastAsia="方正仿宋_GBK"/>
          <w:color w:val="auto"/>
          <w:sz w:val="30"/>
          <w:szCs w:val="30"/>
          <w:highlight w:val="none"/>
        </w:rPr>
        <w:t>引导形成“一区一轴两心两环”空间结构。一区，禄丰城市，是全州工业产业布局重点。一轴，由南向北贯穿整个罗次坝子，依托交通走廊，形成南北向发展轴。两心，近期以禄丰为重点，远期逐步培育新兴的武（定）禄（劝）城市，形成南北两个增长极共同带动区域发展。两环（元武高速、S18），为带动周边小城镇发展，提升区域内的乡镇道路形成南北两个发展环线</w:t>
      </w:r>
      <w:r>
        <w:rPr>
          <w:rFonts w:eastAsia="方正仿宋_GBK"/>
          <w:color w:val="auto"/>
          <w:sz w:val="30"/>
          <w:szCs w:val="30"/>
          <w:highlight w:val="none"/>
        </w:rPr>
        <w:t>。</w:t>
      </w:r>
    </w:p>
    <w:p w14:paraId="05CB3935">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强化城乡融合发展。</w:t>
      </w:r>
      <w:r>
        <w:rPr>
          <w:rFonts w:hint="eastAsia" w:eastAsia="方正仿宋_GBK"/>
          <w:color w:val="auto"/>
          <w:sz w:val="30"/>
          <w:szCs w:val="30"/>
          <w:highlight w:val="none"/>
        </w:rPr>
        <w:t>统筹城市建设、产业发展、生态涵养、基础设施和公共服务，用工业化引领农业现代化，以新型城镇化促进乡村振兴。不断推动“人、业、地”城乡联动，协同建设城乡生产空间、生活空间与生态空间，促进城镇圈内城乡要素合理配置、城乡基本公共服务均等化。</w:t>
      </w:r>
    </w:p>
    <w:p w14:paraId="605E5AB4">
      <w:pPr>
        <w:pStyle w:val="6"/>
        <w:rPr>
          <w:color w:val="auto"/>
          <w:highlight w:val="none"/>
        </w:rPr>
      </w:pPr>
      <w:r>
        <w:rPr>
          <w:color w:val="auto"/>
          <w:highlight w:val="none"/>
        </w:rPr>
        <w:t>三、培育楚北城镇组团，提升滇川合作发展能级</w:t>
      </w:r>
    </w:p>
    <w:p w14:paraId="1ECA8AED">
      <w:pPr>
        <w:ind w:firstLine="600"/>
        <w:rPr>
          <w:rFonts w:eastAsia="方正仿宋_GBK"/>
          <w:color w:val="auto"/>
          <w:sz w:val="30"/>
          <w:szCs w:val="30"/>
          <w:highlight w:val="none"/>
        </w:rPr>
      </w:pPr>
      <w:r>
        <w:rPr>
          <w:rFonts w:ascii="方正楷体_GBK" w:eastAsia="方正楷体_GBK"/>
          <w:color w:val="auto"/>
          <w:sz w:val="30"/>
          <w:szCs w:val="30"/>
          <w:highlight w:val="none"/>
        </w:rPr>
        <w:t>打造滇川合作的西北门户。</w:t>
      </w:r>
      <w:r>
        <w:rPr>
          <w:rFonts w:hint="eastAsia" w:eastAsia="方正仿宋_GBK"/>
          <w:color w:val="auto"/>
          <w:sz w:val="30"/>
          <w:szCs w:val="30"/>
          <w:highlight w:val="none"/>
        </w:rPr>
        <w:t>按照强化与攀枝花、成渝经济区协作发展的思路，构建四城错位协同、以元谋城市为重点的城镇组团。采用“联合做强”的模式提升规模效应和辐射带动能力，增强整体竞争力</w:t>
      </w:r>
      <w:r>
        <w:rPr>
          <w:rFonts w:eastAsia="方正仿宋_GBK"/>
          <w:color w:val="auto"/>
          <w:sz w:val="30"/>
          <w:szCs w:val="30"/>
          <w:highlight w:val="none"/>
        </w:rPr>
        <w:t>。</w:t>
      </w:r>
    </w:p>
    <w:p w14:paraId="5B407046">
      <w:pPr>
        <w:ind w:firstLine="600"/>
        <w:rPr>
          <w:color w:val="auto"/>
          <w:sz w:val="30"/>
          <w:szCs w:val="30"/>
          <w:highlight w:val="none"/>
        </w:rPr>
      </w:pPr>
      <w:r>
        <w:rPr>
          <w:rFonts w:ascii="方正楷体_GBK" w:eastAsia="方正楷体_GBK"/>
          <w:color w:val="auto"/>
          <w:sz w:val="30"/>
          <w:szCs w:val="30"/>
          <w:highlight w:val="none"/>
        </w:rPr>
        <w:t>推进楚北四城错位协作。</w:t>
      </w:r>
      <w:r>
        <w:rPr>
          <w:rFonts w:hint="eastAsia" w:eastAsia="方正仿宋_GBK"/>
          <w:color w:val="auto"/>
          <w:sz w:val="30"/>
          <w:szCs w:val="30"/>
          <w:highlight w:val="none"/>
        </w:rPr>
        <w:t>大姚县建设成为楚北对外开放合作重要门户，元谋县建设成为国家现代农业示范区中国冬早蔬菜生产和物流基地，姚安县建设成为滇中现代化生态田园城市，永仁县建设成为面向滇中、攀西的生产生活服务型陆港</w:t>
      </w:r>
      <w:r>
        <w:rPr>
          <w:rFonts w:eastAsia="方正仿宋_GBK"/>
          <w:color w:val="auto"/>
          <w:sz w:val="30"/>
          <w:szCs w:val="30"/>
          <w:highlight w:val="none"/>
        </w:rPr>
        <w:t>。</w:t>
      </w:r>
    </w:p>
    <w:p w14:paraId="522026E3">
      <w:pPr>
        <w:ind w:firstLine="600"/>
        <w:rPr>
          <w:rFonts w:eastAsia="方正仿宋_GBK"/>
          <w:color w:val="auto"/>
          <w:sz w:val="30"/>
          <w:szCs w:val="30"/>
          <w:highlight w:val="none"/>
        </w:rPr>
      </w:pPr>
      <w:r>
        <w:rPr>
          <w:rFonts w:ascii="方正楷体_GBK" w:eastAsia="方正楷体_GBK"/>
          <w:color w:val="auto"/>
          <w:sz w:val="30"/>
          <w:szCs w:val="30"/>
          <w:highlight w:val="none"/>
        </w:rPr>
        <w:t>实施</w:t>
      </w:r>
      <w:r>
        <w:rPr>
          <w:rFonts w:hint="eastAsia" w:ascii="方正楷体_GBK" w:eastAsia="方正楷体_GBK"/>
          <w:color w:val="auto"/>
          <w:sz w:val="30"/>
          <w:szCs w:val="30"/>
          <w:highlight w:val="none"/>
        </w:rPr>
        <w:t>“</w:t>
      </w:r>
      <w:r>
        <w:rPr>
          <w:rFonts w:ascii="方正楷体_GBK" w:eastAsia="方正楷体_GBK"/>
          <w:color w:val="auto"/>
          <w:sz w:val="30"/>
          <w:szCs w:val="30"/>
          <w:highlight w:val="none"/>
        </w:rPr>
        <w:t>小县大城</w:t>
      </w:r>
      <w:r>
        <w:rPr>
          <w:rFonts w:hint="eastAsia" w:ascii="方正楷体_GBK" w:eastAsia="方正楷体_GBK"/>
          <w:color w:val="auto"/>
          <w:sz w:val="30"/>
          <w:szCs w:val="30"/>
          <w:highlight w:val="none"/>
        </w:rPr>
        <w:t>”</w:t>
      </w:r>
      <w:r>
        <w:rPr>
          <w:rFonts w:ascii="方正楷体_GBK" w:eastAsia="方正楷体_GBK"/>
          <w:color w:val="auto"/>
          <w:sz w:val="30"/>
          <w:szCs w:val="30"/>
          <w:highlight w:val="none"/>
        </w:rPr>
        <w:t>战略。</w:t>
      </w:r>
      <w:r>
        <w:rPr>
          <w:rFonts w:hint="eastAsia" w:eastAsia="方正仿宋_GBK"/>
          <w:color w:val="auto"/>
          <w:sz w:val="30"/>
          <w:szCs w:val="30"/>
          <w:highlight w:val="none"/>
        </w:rPr>
        <w:t>充分考虑主体功能区划，打破城乡界限、开放县城，引导产业、人口、要素等向县城集聚，做大做强县城这一增长极，带动县域经济社会实现跨越式发展。强化产业向城镇开发边界内集聚发展，实现新型工业化推动城镇化、新型城镇化提升工业化的良性循环</w:t>
      </w:r>
      <w:r>
        <w:rPr>
          <w:rFonts w:eastAsia="方正仿宋_GBK"/>
          <w:color w:val="auto"/>
          <w:sz w:val="30"/>
          <w:szCs w:val="30"/>
          <w:highlight w:val="none"/>
        </w:rPr>
        <w:t>。</w:t>
      </w:r>
    </w:p>
    <w:p w14:paraId="3680BD2A">
      <w:pPr>
        <w:ind w:firstLine="600"/>
        <w:rPr>
          <w:rFonts w:eastAsia="方正仿宋_GBK"/>
          <w:color w:val="auto"/>
          <w:sz w:val="30"/>
          <w:szCs w:val="30"/>
          <w:highlight w:val="none"/>
        </w:rPr>
      </w:pPr>
      <w:r>
        <w:rPr>
          <w:rFonts w:ascii="方正楷体_GBK" w:eastAsia="方正楷体_GBK"/>
          <w:color w:val="auto"/>
          <w:sz w:val="30"/>
          <w:szCs w:val="30"/>
          <w:highlight w:val="none"/>
        </w:rPr>
        <w:t>推进城乡融合发展。</w:t>
      </w:r>
      <w:r>
        <w:rPr>
          <w:rFonts w:hint="eastAsia" w:eastAsia="方正仿宋_GBK"/>
          <w:color w:val="auto"/>
          <w:sz w:val="30"/>
          <w:szCs w:val="30"/>
          <w:highlight w:val="none"/>
        </w:rPr>
        <w:t>着力提升县城半小时范围内“功能区”建设，以提升基础设施建设为“突破口”提升城乡融合发展水平，促进县城服务功能的外溢，惠及更多乡村地区，实现优质公共服务城乡共享，形成与自然生态相互交融的开敞式空间形态</w:t>
      </w:r>
      <w:r>
        <w:rPr>
          <w:rFonts w:eastAsia="方正仿宋_GBK"/>
          <w:color w:val="auto"/>
          <w:sz w:val="30"/>
          <w:szCs w:val="30"/>
          <w:highlight w:val="none"/>
        </w:rPr>
        <w:t>。</w:t>
      </w:r>
    </w:p>
    <w:p w14:paraId="03E5C0EA">
      <w:pPr>
        <w:pStyle w:val="5"/>
        <w:rPr>
          <w:rFonts w:eastAsia="方正黑体简体"/>
          <w:color w:val="auto"/>
          <w:highlight w:val="none"/>
        </w:rPr>
      </w:pPr>
      <w:bookmarkStart w:id="195" w:name="_Toc184639392"/>
      <w:r>
        <w:rPr>
          <w:color w:val="auto"/>
          <w:highlight w:val="none"/>
        </w:rPr>
        <w:t>第</w:t>
      </w:r>
      <w:r>
        <w:rPr>
          <w:rFonts w:hint="eastAsia"/>
          <w:color w:val="auto"/>
          <w:highlight w:val="none"/>
          <w:lang w:val="en-US"/>
        </w:rPr>
        <w:t>三</w:t>
      </w:r>
      <w:r>
        <w:rPr>
          <w:color w:val="auto"/>
          <w:highlight w:val="none"/>
        </w:rPr>
        <w:t>节</w:t>
      </w:r>
      <w:r>
        <w:rPr>
          <w:rFonts w:eastAsia="方正黑体简体"/>
          <w:color w:val="auto"/>
          <w:highlight w:val="none"/>
        </w:rPr>
        <w:t xml:space="preserve"> </w:t>
      </w:r>
      <w:r>
        <w:rPr>
          <w:color w:val="auto"/>
          <w:highlight w:val="none"/>
        </w:rPr>
        <w:t>推进产业空间聚集发展</w:t>
      </w:r>
      <w:bookmarkEnd w:id="195"/>
    </w:p>
    <w:p w14:paraId="20267D84">
      <w:pPr>
        <w:pStyle w:val="6"/>
        <w:rPr>
          <w:color w:val="auto"/>
          <w:highlight w:val="none"/>
        </w:rPr>
      </w:pPr>
      <w:r>
        <w:rPr>
          <w:rFonts w:hint="eastAsia"/>
          <w:color w:val="auto"/>
          <w:highlight w:val="none"/>
        </w:rPr>
        <w:t>一、强化园区载体建设</w:t>
      </w:r>
    </w:p>
    <w:p w14:paraId="7FAA06BE">
      <w:pPr>
        <w:ind w:firstLine="600"/>
        <w:rPr>
          <w:rFonts w:ascii="仿宋_GB2312"/>
          <w:color w:val="auto"/>
          <w:highlight w:val="none"/>
        </w:rPr>
      </w:pPr>
      <w:r>
        <w:rPr>
          <w:rFonts w:hint="eastAsia" w:ascii="方正楷体_GBK" w:eastAsia="方正楷体_GBK"/>
          <w:color w:val="auto"/>
          <w:sz w:val="30"/>
          <w:szCs w:val="30"/>
          <w:highlight w:val="none"/>
        </w:rPr>
        <w:t>保障产业园区高质量发展空间。</w:t>
      </w:r>
      <w:r>
        <w:rPr>
          <w:rFonts w:hint="eastAsia" w:eastAsia="方正仿宋_GBK"/>
          <w:color w:val="auto"/>
          <w:sz w:val="30"/>
          <w:szCs w:val="30"/>
          <w:highlight w:val="none"/>
        </w:rPr>
        <w:t>高质量推动楚雄国家高新技术产业开发区建设，支撑将楚雄高新区建成在全国、全省有重要影响的工业发展样板区，成为全州经济发展的增长极、高新产业的集聚区、产业转移的承接地。推进以楚雄为核心的楚南产业发展核和以禄丰为核心的产业发展核建设，充分保障楚雄国家高新技术产业开发区、云南禄丰产业园区、云南武定产业园区和云南牟定产业园区的空间需求，适度超前谋划园区基础设施建设，加快园区行政服务、文体活动、物流配送、商贸休闲等综合配套设施建设，全面提升城市化与产业化匹配度，不断增强园区的产业集聚力承载力，支撑全州构建“一心双核四园”驱动的产业发展格局。</w:t>
      </w:r>
    </w:p>
    <w:p w14:paraId="38D1A667">
      <w:pPr>
        <w:pStyle w:val="11"/>
        <w:rPr>
          <w:color w:val="auto"/>
          <w:highlight w:val="none"/>
        </w:rPr>
      </w:pPr>
      <w:r>
        <w:rPr>
          <w:color w:val="auto"/>
          <w:highlight w:val="none"/>
        </w:rPr>
        <w:t>专栏</w:t>
      </w:r>
      <w:r>
        <w:rPr>
          <w:rFonts w:hint="eastAsia"/>
          <w:color w:val="auto"/>
          <w:highlight w:val="none"/>
          <w:lang w:val="en-US" w:eastAsia="zh-CN"/>
        </w:rPr>
        <w:t>11</w:t>
      </w:r>
      <w:r>
        <w:rPr>
          <w:color w:val="auto"/>
          <w:highlight w:val="none"/>
        </w:rPr>
        <w:t xml:space="preserve">  </w:t>
      </w:r>
      <w:r>
        <w:rPr>
          <w:rFonts w:hint="eastAsia"/>
          <w:color w:val="auto"/>
          <w:highlight w:val="none"/>
        </w:rPr>
        <w:t>“</w:t>
      </w:r>
      <w:r>
        <w:rPr>
          <w:color w:val="auto"/>
          <w:highlight w:val="none"/>
        </w:rPr>
        <w:t>四园</w:t>
      </w:r>
      <w:r>
        <w:rPr>
          <w:rFonts w:hint="eastAsia"/>
          <w:color w:val="auto"/>
          <w:highlight w:val="none"/>
        </w:rPr>
        <w:t>”</w:t>
      </w:r>
      <w:r>
        <w:rPr>
          <w:color w:val="auto"/>
          <w:highlight w:val="none"/>
        </w:rPr>
        <w:t>空间布局指引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6923"/>
      </w:tblGrid>
      <w:tr w14:paraId="2571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99" w:type="dxa"/>
            <w:vAlign w:val="center"/>
          </w:tcPr>
          <w:p w14:paraId="5DE98F2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产业园区</w:t>
            </w:r>
          </w:p>
        </w:tc>
        <w:tc>
          <w:tcPr>
            <w:tcW w:w="6923" w:type="dxa"/>
            <w:vAlign w:val="center"/>
          </w:tcPr>
          <w:p w14:paraId="64261E9D">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发展指引</w:t>
            </w:r>
          </w:p>
        </w:tc>
      </w:tr>
      <w:tr w14:paraId="5F6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091CE9F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楚雄国家高新技术产业开发区</w:t>
            </w:r>
          </w:p>
        </w:tc>
        <w:tc>
          <w:tcPr>
            <w:tcW w:w="6923" w:type="dxa"/>
            <w:vAlign w:val="center"/>
          </w:tcPr>
          <w:p w14:paraId="35497DB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重点打造赵家湾桃园工业区、庄甸富民工业区、苍岭工业区三大工业集聚区。赵家湾桃园工业区重点发展生物医药、绿色食品、冶金化工、先进装备制造产业。庄甸富民工业区重点发展硅材料、光伏、工业大麻、烟草及配套、新型建材等产业。苍岭工业区以云甸片区、智明片区、黄草片区为核心，重点发展精细化工产业、硅产业链产业、石油深加工产业、新材料、生物医药、现代物流、综合保税等产业。</w:t>
            </w:r>
          </w:p>
        </w:tc>
      </w:tr>
      <w:tr w14:paraId="6253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63115D0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云南禄丰产业园区</w:t>
            </w:r>
          </w:p>
        </w:tc>
        <w:tc>
          <w:tcPr>
            <w:tcW w:w="6923" w:type="dxa"/>
            <w:vAlign w:val="center"/>
          </w:tcPr>
          <w:p w14:paraId="2C2A0020">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围绕</w:t>
            </w:r>
            <w:r>
              <w:rPr>
                <w:rFonts w:hint="eastAsia" w:eastAsia="方正仿宋_GBK"/>
                <w:color w:val="auto"/>
                <w:sz w:val="24"/>
                <w:szCs w:val="24"/>
                <w:highlight w:val="none"/>
              </w:rPr>
              <w:t>“</w:t>
            </w:r>
            <w:r>
              <w:rPr>
                <w:rFonts w:eastAsia="方正仿宋_GBK"/>
                <w:color w:val="auto"/>
                <w:sz w:val="24"/>
                <w:szCs w:val="24"/>
                <w:highlight w:val="none"/>
              </w:rPr>
              <w:t>一园</w:t>
            </w:r>
            <w:r>
              <w:rPr>
                <w:rFonts w:hint="eastAsia" w:eastAsia="方正仿宋_GBK"/>
                <w:color w:val="auto"/>
                <w:sz w:val="24"/>
                <w:szCs w:val="24"/>
                <w:highlight w:val="none"/>
              </w:rPr>
              <w:t>四</w:t>
            </w:r>
            <w:r>
              <w:rPr>
                <w:rFonts w:eastAsia="方正仿宋_GBK"/>
                <w:color w:val="auto"/>
                <w:sz w:val="24"/>
                <w:szCs w:val="24"/>
                <w:highlight w:val="none"/>
              </w:rPr>
              <w:t>片</w:t>
            </w:r>
            <w:r>
              <w:rPr>
                <w:rFonts w:hint="eastAsia" w:eastAsia="方正仿宋_GBK"/>
                <w:color w:val="auto"/>
                <w:sz w:val="24"/>
                <w:szCs w:val="24"/>
                <w:highlight w:val="none"/>
              </w:rPr>
              <w:t>”</w:t>
            </w:r>
            <w:r>
              <w:rPr>
                <w:rFonts w:eastAsia="方正仿宋_GBK"/>
                <w:color w:val="auto"/>
                <w:sz w:val="24"/>
                <w:szCs w:val="24"/>
                <w:highlight w:val="none"/>
              </w:rPr>
              <w:t>重点布局发展以新材料为主导，以绿色化工和先进装备制造为辅助的大型千亿产业园区。重点打造四大产业集群：一是打造云南省新材料产业生态集群示范园区，重点布局发展硅基新材料、钛基材料、钒钛金属材料、新型有色金属合金材料、前沿新材料研发生产等重点产业。二是打造云南绿色冶金化工聚集区，重点布局发展磷化工、钛化工、石油炼化一体化等先进技术与硅材、钛合金、铜材、钒钛等工业冶炼加工深度融合的重点产业。三是依托锦润数控装备产业集群，打造云南先进装备制造基地，重点布局发展数控装备制造、智能装备制造和高端装备制造产业。四是打造云南循环经济产业示范园区，以尾矿、冶金渣、粉煤灰、工业废弃料（建筑垃圾）等工业固体废弃物综合利用为支撑，重点布局发展大宗固体废弃物综合利用产业。</w:t>
            </w:r>
          </w:p>
        </w:tc>
      </w:tr>
      <w:tr w14:paraId="196E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3D981C8F">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云南</w:t>
            </w:r>
            <w:r>
              <w:rPr>
                <w:rFonts w:eastAsia="方正仿宋_GBK"/>
                <w:color w:val="auto"/>
                <w:sz w:val="24"/>
                <w:szCs w:val="24"/>
                <w:highlight w:val="none"/>
              </w:rPr>
              <w:t>武定产业园</w:t>
            </w:r>
            <w:r>
              <w:rPr>
                <w:rFonts w:hint="eastAsia" w:eastAsia="方正仿宋_GBK"/>
                <w:color w:val="auto"/>
                <w:sz w:val="24"/>
                <w:szCs w:val="24"/>
                <w:highlight w:val="none"/>
              </w:rPr>
              <w:t>区</w:t>
            </w:r>
          </w:p>
        </w:tc>
        <w:tc>
          <w:tcPr>
            <w:tcW w:w="6923" w:type="dxa"/>
            <w:vAlign w:val="center"/>
          </w:tcPr>
          <w:p w14:paraId="0F8C6E3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围绕</w:t>
            </w:r>
            <w:r>
              <w:rPr>
                <w:rFonts w:hint="eastAsia" w:eastAsia="方正仿宋_GBK"/>
                <w:color w:val="auto"/>
                <w:sz w:val="24"/>
                <w:szCs w:val="24"/>
                <w:highlight w:val="none"/>
              </w:rPr>
              <w:t>“</w:t>
            </w:r>
            <w:r>
              <w:rPr>
                <w:rFonts w:eastAsia="方正仿宋_GBK"/>
                <w:color w:val="auto"/>
                <w:sz w:val="24"/>
                <w:szCs w:val="24"/>
                <w:highlight w:val="none"/>
              </w:rPr>
              <w:t>一园三片</w:t>
            </w:r>
            <w:r>
              <w:rPr>
                <w:rFonts w:hint="eastAsia" w:eastAsia="方正仿宋_GBK"/>
                <w:color w:val="auto"/>
                <w:sz w:val="24"/>
                <w:szCs w:val="24"/>
                <w:highlight w:val="none"/>
              </w:rPr>
              <w:t>”</w:t>
            </w:r>
            <w:r>
              <w:rPr>
                <w:rFonts w:eastAsia="方正仿宋_GBK"/>
                <w:color w:val="auto"/>
                <w:sz w:val="24"/>
                <w:szCs w:val="24"/>
                <w:highlight w:val="none"/>
              </w:rPr>
              <w:t>（即推进云南武定产业园区、禄金新型工业片区、长冲新型建筑材料片区、县城东南绿色产业片区建设）的总体格局，重点布局发展</w:t>
            </w:r>
            <w:r>
              <w:rPr>
                <w:rFonts w:hint="eastAsia" w:eastAsia="方正仿宋_GBK"/>
                <w:color w:val="auto"/>
                <w:sz w:val="24"/>
                <w:szCs w:val="24"/>
                <w:highlight w:val="none"/>
              </w:rPr>
              <w:t>“</w:t>
            </w:r>
            <w:r>
              <w:rPr>
                <w:rFonts w:eastAsia="方正仿宋_GBK"/>
                <w:color w:val="auto"/>
                <w:sz w:val="24"/>
                <w:szCs w:val="24"/>
                <w:highlight w:val="none"/>
              </w:rPr>
              <w:t>一主两辅</w:t>
            </w:r>
            <w:r>
              <w:rPr>
                <w:rFonts w:hint="eastAsia" w:eastAsia="方正仿宋_GBK"/>
                <w:color w:val="auto"/>
                <w:sz w:val="24"/>
                <w:szCs w:val="24"/>
                <w:highlight w:val="none"/>
              </w:rPr>
              <w:t>”</w:t>
            </w:r>
            <w:r>
              <w:rPr>
                <w:rFonts w:eastAsia="方正仿宋_GBK"/>
                <w:color w:val="auto"/>
                <w:sz w:val="24"/>
                <w:szCs w:val="24"/>
                <w:highlight w:val="none"/>
              </w:rPr>
              <w:t>三大产业：</w:t>
            </w:r>
            <w:r>
              <w:rPr>
                <w:rFonts w:hint="eastAsia" w:eastAsia="方正仿宋_GBK"/>
                <w:color w:val="auto"/>
                <w:sz w:val="24"/>
                <w:szCs w:val="24"/>
                <w:highlight w:val="none"/>
              </w:rPr>
              <w:t>“</w:t>
            </w:r>
            <w:r>
              <w:rPr>
                <w:rFonts w:eastAsia="方正仿宋_GBK"/>
                <w:color w:val="auto"/>
                <w:sz w:val="24"/>
                <w:szCs w:val="24"/>
                <w:highlight w:val="none"/>
              </w:rPr>
              <w:t>一主</w:t>
            </w:r>
            <w:r>
              <w:rPr>
                <w:rFonts w:hint="eastAsia" w:eastAsia="方正仿宋_GBK"/>
                <w:color w:val="auto"/>
                <w:sz w:val="24"/>
                <w:szCs w:val="24"/>
                <w:highlight w:val="none"/>
              </w:rPr>
              <w:t>”</w:t>
            </w:r>
            <w:r>
              <w:rPr>
                <w:rFonts w:eastAsia="方正仿宋_GBK"/>
                <w:color w:val="auto"/>
                <w:sz w:val="24"/>
                <w:szCs w:val="24"/>
                <w:highlight w:val="none"/>
              </w:rPr>
              <w:t>，即钛产业；</w:t>
            </w:r>
            <w:r>
              <w:rPr>
                <w:rFonts w:hint="eastAsia" w:eastAsia="方正仿宋_GBK"/>
                <w:color w:val="auto"/>
                <w:sz w:val="24"/>
                <w:szCs w:val="24"/>
                <w:highlight w:val="none"/>
              </w:rPr>
              <w:t>“</w:t>
            </w:r>
            <w:r>
              <w:rPr>
                <w:rFonts w:eastAsia="方正仿宋_GBK"/>
                <w:color w:val="auto"/>
                <w:sz w:val="24"/>
                <w:szCs w:val="24"/>
                <w:highlight w:val="none"/>
              </w:rPr>
              <w:t>两辅</w:t>
            </w:r>
            <w:r>
              <w:rPr>
                <w:rFonts w:hint="eastAsia" w:eastAsia="方正仿宋_GBK"/>
                <w:color w:val="auto"/>
                <w:sz w:val="24"/>
                <w:szCs w:val="24"/>
                <w:highlight w:val="none"/>
              </w:rPr>
              <w:t>”</w:t>
            </w:r>
            <w:r>
              <w:rPr>
                <w:rFonts w:eastAsia="方正仿宋_GBK"/>
                <w:color w:val="auto"/>
                <w:sz w:val="24"/>
                <w:szCs w:val="24"/>
                <w:highlight w:val="none"/>
              </w:rPr>
              <w:t>，即新型建筑材料产业、绿色食品产业，着力建成以钛铁原材料供给基地和优质农产品加工基地为重点的省级开发区。</w:t>
            </w:r>
          </w:p>
        </w:tc>
      </w:tr>
      <w:tr w14:paraId="3856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31F2FC9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云南牟定</w:t>
            </w:r>
            <w:r>
              <w:rPr>
                <w:rFonts w:eastAsia="方正仿宋_GBK"/>
                <w:color w:val="auto"/>
                <w:sz w:val="24"/>
                <w:szCs w:val="24"/>
                <w:highlight w:val="none"/>
              </w:rPr>
              <w:t>产业园</w:t>
            </w:r>
            <w:r>
              <w:rPr>
                <w:rFonts w:hint="eastAsia" w:eastAsia="方正仿宋_GBK"/>
                <w:color w:val="auto"/>
                <w:sz w:val="24"/>
                <w:szCs w:val="24"/>
                <w:highlight w:val="none"/>
              </w:rPr>
              <w:t>区</w:t>
            </w:r>
          </w:p>
        </w:tc>
        <w:tc>
          <w:tcPr>
            <w:tcW w:w="6923" w:type="dxa"/>
            <w:vAlign w:val="center"/>
          </w:tcPr>
          <w:p w14:paraId="51D01F8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着力打造“一主两辅”的产业体系，主导产业为资源循环利用产业，辅助产业为新材料产业和新能源产业。包含庄三片区、大宗固废循环经济片区、黄龙山片区和戌街片区</w:t>
            </w:r>
            <w:r>
              <w:rPr>
                <w:rFonts w:eastAsia="方正仿宋_GBK"/>
                <w:color w:val="auto"/>
                <w:sz w:val="24"/>
                <w:szCs w:val="24"/>
                <w:highlight w:val="none"/>
              </w:rPr>
              <w:t>。</w:t>
            </w:r>
          </w:p>
        </w:tc>
      </w:tr>
    </w:tbl>
    <w:p w14:paraId="772827EF">
      <w:pPr>
        <w:ind w:firstLine="600"/>
        <w:rPr>
          <w:color w:val="auto"/>
          <w:sz w:val="30"/>
          <w:szCs w:val="30"/>
          <w:highlight w:val="none"/>
        </w:rPr>
      </w:pPr>
      <w:r>
        <w:rPr>
          <w:rFonts w:ascii="方正楷体_GBK" w:eastAsia="方正楷体_GBK"/>
          <w:color w:val="auto"/>
          <w:sz w:val="30"/>
          <w:szCs w:val="30"/>
          <w:highlight w:val="none"/>
        </w:rPr>
        <w:t>强化产业</w:t>
      </w:r>
      <w:r>
        <w:rPr>
          <w:rFonts w:hint="eastAsia" w:ascii="方正楷体_GBK" w:eastAsia="方正楷体_GBK"/>
          <w:color w:val="auto"/>
          <w:sz w:val="30"/>
          <w:szCs w:val="30"/>
          <w:highlight w:val="none"/>
        </w:rPr>
        <w:t>园区</w:t>
      </w:r>
      <w:r>
        <w:rPr>
          <w:rFonts w:ascii="方正楷体_GBK" w:eastAsia="方正楷体_GBK"/>
          <w:color w:val="auto"/>
          <w:sz w:val="30"/>
          <w:szCs w:val="30"/>
          <w:highlight w:val="none"/>
        </w:rPr>
        <w:t>设施配建。</w:t>
      </w:r>
      <w:r>
        <w:rPr>
          <w:rFonts w:hint="eastAsia" w:eastAsia="方正仿宋_GBK"/>
          <w:color w:val="auto"/>
          <w:sz w:val="30"/>
          <w:szCs w:val="30"/>
          <w:highlight w:val="none"/>
        </w:rPr>
        <w:t>突出园区复合功能，推进职住平衡。围绕楚雄、禄丰、武定、牟定产业片区，构建支持创新创业的生产服务支撑，满足不同类型产业发展需求；提供涵盖文化活动、体育健身、健康管理、职业培训、商业服务等要素的便捷生活服务体系，满足就业群体多样化、多层次的生活需求；强化由公园绿地、街道空间等组成的公共空间网络，作为产业片区公共生活核心，为企业交流互动、合作共享提供多样化的空间载体；重点依托公交换乘站，集中配置社区配套设施，适当增加居住空间，推动传统产业园区向产城融合、功能完善、环境宜人的产业社区转型，塑造更具创新活力、健康可持续发展的产业社区</w:t>
      </w:r>
      <w:r>
        <w:rPr>
          <w:rFonts w:eastAsia="方正仿宋_GBK"/>
          <w:color w:val="auto"/>
          <w:sz w:val="30"/>
          <w:szCs w:val="30"/>
          <w:highlight w:val="none"/>
        </w:rPr>
        <w:t>。</w:t>
      </w:r>
      <w:r>
        <w:rPr>
          <w:rFonts w:hint="eastAsia" w:eastAsia="方正仿宋_GBK"/>
          <w:color w:val="auto"/>
          <w:sz w:val="30"/>
          <w:szCs w:val="30"/>
          <w:highlight w:val="none"/>
        </w:rPr>
        <w:t>鼓励园区内低效用地再开发利用，加强批而未供和闲置土地处置，推行工业项目“标准地”改革，提高土地集约节约效率。以产业发展需求为导向，大力发展高标准立体化厂房，持续完善路网、供水、污水处理、电网、供热、供气等基础设施，完善企业服务、产品质量检测等配套功能，提高产业承载能力。</w:t>
      </w:r>
    </w:p>
    <w:p w14:paraId="5A90EB8A">
      <w:pPr>
        <w:pStyle w:val="3"/>
        <w:ind w:left="0" w:firstLine="600"/>
        <w:rPr>
          <w:rFonts w:ascii="Times New Roman" w:hAnsi="Times New Roman" w:cs="Times New Roman"/>
          <w:color w:val="auto"/>
          <w:sz w:val="30"/>
          <w:szCs w:val="30"/>
          <w:highlight w:val="none"/>
        </w:rPr>
      </w:pPr>
      <w:r>
        <w:rPr>
          <w:rFonts w:hint="eastAsia" w:ascii="方正楷体_GBK" w:hAnsi="Times New Roman" w:eastAsia="方正楷体_GBK" w:cs="Times New Roman"/>
          <w:color w:val="auto"/>
          <w:sz w:val="30"/>
          <w:szCs w:val="30"/>
          <w:highlight w:val="none"/>
        </w:rPr>
        <w:t>加快推进州级特色产业集聚区建设。</w:t>
      </w:r>
      <w:r>
        <w:rPr>
          <w:rFonts w:hint="eastAsia" w:ascii="Times New Roman" w:hAnsi="Times New Roman" w:eastAsia="方正仿宋_GBK" w:cs="Times New Roman"/>
          <w:color w:val="auto"/>
          <w:sz w:val="30"/>
          <w:szCs w:val="30"/>
          <w:highlight w:val="none"/>
        </w:rPr>
        <w:t>以工业高质量发展为核心任务，加强规划引导，打造一批产业特色鲜明，空间相对集中、具有较强影响力的特色产业集聚区，形成制造业发展的新载体。明确特色产业集聚区产业发展定位，优化产业生态，以绿色食品产业为主导产业，完善产业链布局，加大产业集聚效应，推进南华、元谋、姚安产业集聚区辅助发展新型轻工产业，大姚产业集聚区辅助发展先进装备制造业，永仁产业集聚区辅助发展资源综合循环利用产业和仓储物流业，双柏产业集聚区辅助发展林产品加工业。</w:t>
      </w:r>
    </w:p>
    <w:p w14:paraId="04A906BF">
      <w:pPr>
        <w:pStyle w:val="6"/>
        <w:rPr>
          <w:color w:val="auto"/>
          <w:highlight w:val="none"/>
        </w:rPr>
      </w:pPr>
      <w:r>
        <w:rPr>
          <w:rFonts w:hint="eastAsia"/>
          <w:color w:val="auto"/>
          <w:highlight w:val="none"/>
        </w:rPr>
        <w:t>二</w:t>
      </w:r>
      <w:r>
        <w:rPr>
          <w:color w:val="auto"/>
          <w:highlight w:val="none"/>
        </w:rPr>
        <w:t>、统筹划定工业红线</w:t>
      </w:r>
    </w:p>
    <w:p w14:paraId="6374794B">
      <w:pPr>
        <w:ind w:firstLine="600"/>
        <w:rPr>
          <w:color w:val="auto"/>
          <w:sz w:val="30"/>
          <w:szCs w:val="30"/>
          <w:highlight w:val="none"/>
        </w:rPr>
      </w:pPr>
      <w:r>
        <w:rPr>
          <w:rFonts w:ascii="方正楷体_GBK" w:eastAsia="方正楷体_GBK"/>
          <w:color w:val="auto"/>
          <w:sz w:val="30"/>
          <w:szCs w:val="30"/>
          <w:highlight w:val="none"/>
        </w:rPr>
        <w:t>工业用地保障线。</w:t>
      </w:r>
      <w:r>
        <w:rPr>
          <w:rFonts w:hint="eastAsia" w:eastAsia="方正仿宋_GBK"/>
          <w:color w:val="auto"/>
          <w:sz w:val="30"/>
          <w:szCs w:val="30"/>
          <w:highlight w:val="none"/>
        </w:rPr>
        <w:t>守住工业用地基本盘、降低企业用地成本，推动开发区集中成片开发，促进产业规模化、集约化发展。以“三区三线”划定成果为基础划定工业用地红线，以县（市）为单位进行划定，州级负责成果汇总和控制指标统筹平衡。规划产业用地向园区集聚。严格落实省委、省政府《云南省各类开发区优化提升总体方案》，在园区被优化调整取消的县，结合现状工业园区建设实际情况，积极挖掘可利用空间，在确保不占用生态红线、永久基本农田的前提下，落实国家“耕地保护”政策，制定项目准入清单，积极利用可开发利用空间打造园区经济空间。建设州级特色产业区，园区用地应严格纳入城镇开发边界</w:t>
      </w:r>
      <w:r>
        <w:rPr>
          <w:rFonts w:eastAsia="方正仿宋_GBK"/>
          <w:color w:val="auto"/>
          <w:sz w:val="30"/>
          <w:szCs w:val="30"/>
          <w:highlight w:val="none"/>
        </w:rPr>
        <w:t>。</w:t>
      </w:r>
    </w:p>
    <w:p w14:paraId="065E1D06">
      <w:pPr>
        <w:ind w:firstLine="600"/>
        <w:rPr>
          <w:rFonts w:eastAsia="方正仿宋_GBK"/>
          <w:color w:val="auto"/>
          <w:sz w:val="30"/>
          <w:szCs w:val="30"/>
          <w:highlight w:val="none"/>
        </w:rPr>
      </w:pPr>
      <w:r>
        <w:rPr>
          <w:rFonts w:ascii="方正楷体_GBK" w:eastAsia="方正楷体_GBK"/>
          <w:color w:val="auto"/>
          <w:sz w:val="30"/>
          <w:szCs w:val="30"/>
          <w:highlight w:val="none"/>
        </w:rPr>
        <w:t>工业用地拓展线。</w:t>
      </w:r>
      <w:r>
        <w:rPr>
          <w:rFonts w:eastAsia="方正仿宋_GBK"/>
          <w:color w:val="auto"/>
          <w:sz w:val="30"/>
          <w:szCs w:val="30"/>
          <w:highlight w:val="none"/>
        </w:rPr>
        <w:t>将城镇开发边界外的现状（包括已供未用）工业用地和规划工业用地划入工业用地拓展线，为工业长远发展预留的空间，在未来优先划入城镇开发边界。优先将城市下风下水向不占用生态红线、永久基本农田的区域划入工业用地拓展线，单一且闭合的工业用地拓展线规模原则上不小于3公顷，其中工业用地面积占该红线范围面积的比例不低于50%。</w:t>
      </w:r>
    </w:p>
    <w:p w14:paraId="638C1C6F">
      <w:pPr>
        <w:ind w:firstLine="600"/>
        <w:rPr>
          <w:rFonts w:eastAsia="方正仿宋_GBK"/>
          <w:color w:val="auto"/>
          <w:sz w:val="30"/>
          <w:szCs w:val="30"/>
          <w:highlight w:val="none"/>
        </w:rPr>
      </w:pPr>
      <w:r>
        <w:rPr>
          <w:rFonts w:hint="eastAsia" w:eastAsia="方正仿宋_GBK"/>
          <w:color w:val="auto"/>
          <w:sz w:val="30"/>
          <w:szCs w:val="30"/>
          <w:highlight w:val="none"/>
        </w:rPr>
        <w:t>切实解决工业产业用地“小、散、乱”等现象，保障园区用地需求。楚雄州划定工业用地红线77.08平方千米，其中工业用地保障线面积40.76平方千米，工业用地拓展线面积36.32平方千米</w:t>
      </w:r>
      <w:r>
        <w:rPr>
          <w:rFonts w:eastAsia="方正仿宋_GBK"/>
          <w:color w:val="auto"/>
          <w:sz w:val="30"/>
          <w:szCs w:val="30"/>
          <w:highlight w:val="none"/>
        </w:rPr>
        <w:t>。</w:t>
      </w:r>
    </w:p>
    <w:p w14:paraId="112BC371">
      <w:pPr>
        <w:ind w:firstLine="600"/>
        <w:rPr>
          <w:rFonts w:ascii="仿宋_GB2312"/>
          <w:color w:val="auto"/>
          <w:sz w:val="30"/>
          <w:szCs w:val="30"/>
          <w:highlight w:val="none"/>
        </w:rPr>
      </w:pPr>
      <w:r>
        <w:rPr>
          <w:rFonts w:hint="eastAsia" w:eastAsia="方正仿宋_GBK"/>
          <w:color w:val="auto"/>
          <w:sz w:val="30"/>
          <w:szCs w:val="30"/>
          <w:highlight w:val="none"/>
        </w:rPr>
        <w:t>工业用地红线内原则上仅允许工业建设活动，不得开展除正面清单以外的开发利用活动。各地各部门制定与工业生产相关专项政策，原则上向工业用地红线内倾斜。</w:t>
      </w:r>
    </w:p>
    <w:p w14:paraId="56F575DB">
      <w:pPr>
        <w:pStyle w:val="5"/>
        <w:rPr>
          <w:color w:val="auto"/>
          <w:highlight w:val="none"/>
        </w:rPr>
      </w:pPr>
      <w:bookmarkStart w:id="196" w:name="_Toc131433174"/>
      <w:bookmarkStart w:id="197" w:name="_Toc184639393"/>
      <w:bookmarkStart w:id="198" w:name="_Toc131433340"/>
      <w:r>
        <w:rPr>
          <w:color w:val="auto"/>
          <w:highlight w:val="none"/>
        </w:rPr>
        <w:t>第</w:t>
      </w:r>
      <w:r>
        <w:rPr>
          <w:rFonts w:hint="eastAsia"/>
          <w:color w:val="auto"/>
          <w:highlight w:val="none"/>
        </w:rPr>
        <w:t>四</w:t>
      </w:r>
      <w:r>
        <w:rPr>
          <w:color w:val="auto"/>
          <w:highlight w:val="none"/>
        </w:rPr>
        <w:t>节 全面提升城镇品质</w:t>
      </w:r>
      <w:bookmarkEnd w:id="196"/>
      <w:bookmarkEnd w:id="197"/>
      <w:bookmarkEnd w:id="198"/>
    </w:p>
    <w:p w14:paraId="21B7280E">
      <w:pPr>
        <w:pStyle w:val="6"/>
        <w:rPr>
          <w:color w:val="auto"/>
          <w:highlight w:val="none"/>
        </w:rPr>
      </w:pPr>
      <w:r>
        <w:rPr>
          <w:color w:val="auto"/>
          <w:highlight w:val="none"/>
        </w:rPr>
        <w:t>一、</w:t>
      </w:r>
      <w:r>
        <w:rPr>
          <w:rFonts w:hint="eastAsia"/>
          <w:color w:val="auto"/>
          <w:highlight w:val="none"/>
        </w:rPr>
        <w:t>完善各级生活圈提升公共服务水平</w:t>
      </w:r>
    </w:p>
    <w:p w14:paraId="0A885E3B">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统筹配置区域级公共服务设施。</w:t>
      </w:r>
      <w:r>
        <w:rPr>
          <w:rFonts w:hint="eastAsia" w:eastAsia="方正仿宋_GBK"/>
          <w:color w:val="auto"/>
          <w:sz w:val="30"/>
          <w:szCs w:val="30"/>
          <w:highlight w:val="none"/>
        </w:rPr>
        <w:t>强化更大范围、高等级、国际化的重大公共设施配置，满足区域合作公共交流交往要求。适度超前配置州级公共服务设施，在服务属地居民的基础上为周边县（市）及更大区域提供优质公共服务。提升县级公共服务设施标准，按照城乡一体化发展思路，集中在各个县城布局满足县（市）域服务需求的公共服务设施。补齐乡镇级公共服务设施短板，为乡镇域提供全面的公共设施服务。</w:t>
      </w:r>
    </w:p>
    <w:p w14:paraId="2C93B94E">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以生活圈统筹城乡生活。</w:t>
      </w:r>
      <w:r>
        <w:rPr>
          <w:rFonts w:hint="eastAsia" w:eastAsia="方正仿宋_GBK"/>
          <w:color w:val="auto"/>
          <w:sz w:val="30"/>
          <w:szCs w:val="30"/>
          <w:highlight w:val="none"/>
        </w:rPr>
        <w:t>推进5分钟邻里、15分钟社区、30分钟镇村和城乡片区四个层级的生活圈建设，保障文化体育、教育培训、医疗卫生、社会福利、公共服务、商业服务6类设施建设空间，倡导复合利用和生态抵偿，强化功能延伸和应急转换。5分钟邻里、15分钟社区生活圈设置以一定规模、一定布局的方式进行管控，30分钟镇村、城乡生活圈可依据民生需求、发展水平、特色定位等实际统筹落实，按需选择。</w:t>
      </w:r>
    </w:p>
    <w:p w14:paraId="3A389DD5">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确保保障性住房供应。</w:t>
      </w:r>
      <w:r>
        <w:rPr>
          <w:rFonts w:hint="eastAsia" w:eastAsia="方正仿宋_GBK"/>
          <w:color w:val="auto"/>
          <w:sz w:val="30"/>
          <w:szCs w:val="30"/>
          <w:highlight w:val="none"/>
        </w:rPr>
        <w:t>坚持保障和改善民生优先导向，建立多元化的住房保障体系，满足各类人群的差异化居住需求，</w:t>
      </w:r>
      <w:r>
        <w:rPr>
          <w:rFonts w:hint="eastAsia" w:eastAsia="方正仿宋_GBK"/>
          <w:color w:val="auto"/>
          <w:sz w:val="30"/>
          <w:szCs w:val="30"/>
          <w:highlight w:val="none"/>
          <w:u w:val="none"/>
        </w:rPr>
        <w:t>保障公共租赁住房、保障性租赁住房、共有产权住房等保障性住房的建设空间，</w:t>
      </w:r>
      <w:r>
        <w:rPr>
          <w:rFonts w:hint="eastAsia" w:eastAsia="方正仿宋_GBK"/>
          <w:color w:val="auto"/>
          <w:sz w:val="30"/>
          <w:szCs w:val="30"/>
          <w:highlight w:val="none"/>
        </w:rPr>
        <w:t>进一步扩大住房保障覆盖面。实现住房总量平稳增长、住房结构不断优化、居住条件明显提升。稳定商品房供应，确保保障性住房供应。</w:t>
      </w:r>
    </w:p>
    <w:p w14:paraId="290BCC92">
      <w:pPr>
        <w:ind w:firstLine="600"/>
        <w:rPr>
          <w:rFonts w:hint="eastAsia" w:eastAsia="方正仿宋_GBK"/>
          <w:color w:val="auto"/>
          <w:sz w:val="30"/>
          <w:szCs w:val="30"/>
          <w:highlight w:val="none"/>
        </w:rPr>
      </w:pPr>
      <w:r>
        <w:rPr>
          <w:rFonts w:hint="eastAsia" w:ascii="方正楷体_GBK" w:eastAsia="方正楷体_GBK"/>
          <w:color w:val="auto"/>
          <w:sz w:val="30"/>
          <w:szCs w:val="30"/>
          <w:highlight w:val="none"/>
        </w:rPr>
        <w:t>合理调整优化教育设施布局。</w:t>
      </w:r>
      <w:r>
        <w:rPr>
          <w:rFonts w:hint="eastAsia" w:eastAsia="方正仿宋_GBK"/>
          <w:color w:val="auto"/>
          <w:sz w:val="30"/>
          <w:szCs w:val="30"/>
          <w:highlight w:val="none"/>
          <w:u w:val="none"/>
        </w:rPr>
        <w:t>充分保障滇中楚雄科创城“三校一中心”（楚雄师范学院、楚雄医药高等专科学校、楚雄技师学院、楚雄高原体育中心）等高等教育发展用地，在楚雄市、禄丰市预留职教园区用地。在楚雄市保障1所全州专门学校建设用地。人口规模20万人左右的县市应保障1所特殊教育学校建设用地。优化高中资源配置，按照人口分布合理布局高中阶段学校。预留足够的义务教育学校用地，各级城镇按标准配置中小学。人口规模3000人左右的行政村应保障1所完全小学建设空间，人口稀少、地处偏远、交通不便的地方应保障小学教学点建设空间。补齐城镇和农村学前教育短板，保障学前教育建设空间，加大普惠性幼儿园发展。保障每千人口拥有3岁以下婴幼儿托位数不低于4.5个的用地空间需求。</w:t>
      </w:r>
    </w:p>
    <w:p w14:paraId="44B3CEDC">
      <w:pPr>
        <w:ind w:firstLine="600"/>
        <w:rPr>
          <w:rFonts w:eastAsia="楷体"/>
          <w:color w:val="auto"/>
          <w:sz w:val="30"/>
          <w:szCs w:val="30"/>
          <w:highlight w:val="none"/>
        </w:rPr>
      </w:pPr>
      <w:r>
        <w:rPr>
          <w:rFonts w:hint="eastAsia" w:ascii="方正楷体_GBK" w:eastAsia="方正楷体_GBK"/>
          <w:color w:val="auto"/>
          <w:sz w:val="30"/>
          <w:szCs w:val="30"/>
          <w:highlight w:val="none"/>
        </w:rPr>
        <w:t>合理配置医疗卫生资源。</w:t>
      </w:r>
      <w:r>
        <w:rPr>
          <w:rFonts w:eastAsia="方正仿宋_GBK"/>
          <w:color w:val="auto"/>
          <w:sz w:val="30"/>
          <w:szCs w:val="30"/>
          <w:highlight w:val="none"/>
        </w:rPr>
        <w:t>全面建设以州级医疗卫生机构为龙头，县（市）级医疗卫生机构为骨干，乡镇卫生院（社区卫生服务中心）、村卫生室为网底，民营医疗机构为补充的</w:t>
      </w:r>
      <w:r>
        <w:rPr>
          <w:rFonts w:hint="eastAsia" w:eastAsia="方正仿宋_GBK"/>
          <w:color w:val="auto"/>
          <w:sz w:val="30"/>
          <w:szCs w:val="30"/>
          <w:highlight w:val="none"/>
          <w:u w:val="none"/>
        </w:rPr>
        <w:t>医疗卫生服务新体系。优化医疗卫生资源配置，保障县（市）、乡、村三级医疗卫生设施建设空间。按照常住人口、服务人口和服务半径分级分类设置基层医疗卫生机构、医院、专业公共卫生机构。鼓励医疗</w:t>
      </w:r>
      <w:r>
        <w:rPr>
          <w:rFonts w:eastAsia="方正仿宋_GBK"/>
          <w:color w:val="auto"/>
          <w:sz w:val="30"/>
          <w:szCs w:val="30"/>
          <w:highlight w:val="none"/>
        </w:rPr>
        <w:t>卫生设施与养老设施等集中或邻近设置、复合使用。</w:t>
      </w:r>
    </w:p>
    <w:p w14:paraId="4113B540">
      <w:pPr>
        <w:ind w:firstLine="600"/>
        <w:rPr>
          <w:rFonts w:eastAsia="方正仿宋_GBK"/>
          <w:color w:val="auto"/>
          <w:sz w:val="30"/>
          <w:szCs w:val="30"/>
          <w:highlight w:val="none"/>
          <w:u w:val="none"/>
        </w:rPr>
      </w:pPr>
      <w:r>
        <w:rPr>
          <w:rFonts w:hint="eastAsia" w:ascii="方正楷体_GBK" w:eastAsia="方正楷体_GBK"/>
          <w:color w:val="auto"/>
          <w:sz w:val="30"/>
          <w:szCs w:val="30"/>
          <w:highlight w:val="none"/>
        </w:rPr>
        <w:t>统筹公共文化体育布局和共建共享。</w:t>
      </w:r>
      <w:r>
        <w:rPr>
          <w:rFonts w:hint="eastAsia" w:eastAsia="方正仿宋_GBK"/>
          <w:color w:val="auto"/>
          <w:sz w:val="30"/>
          <w:szCs w:val="30"/>
          <w:highlight w:val="none"/>
        </w:rPr>
        <w:t>建立由州级、县（市）级、乡镇级、村级组成的公共文化体育设施体系。</w:t>
      </w:r>
      <w:r>
        <w:rPr>
          <w:rFonts w:hint="default" w:eastAsia="方正仿宋_GBK"/>
          <w:color w:val="auto"/>
          <w:sz w:val="30"/>
          <w:szCs w:val="30"/>
          <w:highlight w:val="none"/>
          <w:u w:val="none"/>
        </w:rPr>
        <w:t>楚雄市集中配置各类区域级公共文化体育设施，保障服务周边地区的州级大型公共文化体育设施建设空间，人均体育场地面积不低于2</w:t>
      </w:r>
      <w:r>
        <w:rPr>
          <w:rFonts w:eastAsia="方正仿宋_GBK"/>
          <w:color w:val="auto"/>
          <w:sz w:val="30"/>
          <w:szCs w:val="30"/>
          <w:highlight w:val="none"/>
          <w:u w:val="none"/>
        </w:rPr>
        <w:t>.60</w:t>
      </w:r>
      <w:r>
        <w:rPr>
          <w:rFonts w:hint="default" w:eastAsia="方正仿宋_GBK"/>
          <w:color w:val="auto"/>
          <w:sz w:val="30"/>
          <w:szCs w:val="30"/>
          <w:highlight w:val="none"/>
          <w:u w:val="none"/>
        </w:rPr>
        <w:t>平方米。充分保障其余县（市）公共图书馆、小型博物馆、青少年活动中心、展览馆、体育场馆、全民健身中心等公共文化体育设施建设空间。着重保障武定县、牟定县、南华县、永仁县博物馆建设。保障传承民族节庆等特色文化体育设施空间，城镇结合15分钟生活圈建设，配置社区级文化体育设施。</w:t>
      </w:r>
    </w:p>
    <w:p w14:paraId="2C1D1E3C">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补齐社会福利设施短板。</w:t>
      </w:r>
      <w:r>
        <w:rPr>
          <w:rFonts w:eastAsia="方正仿宋_GBK"/>
          <w:color w:val="auto"/>
          <w:sz w:val="30"/>
          <w:szCs w:val="30"/>
          <w:highlight w:val="none"/>
        </w:rPr>
        <w:t>各级城镇按标准分级分类配置各类社会福利设施。构建居家社区机构相协调、医养康养相结合的基本养老服务体系。</w:t>
      </w:r>
      <w:r>
        <w:rPr>
          <w:rFonts w:eastAsia="方正仿宋_GBK"/>
          <w:color w:val="auto"/>
          <w:sz w:val="30"/>
          <w:szCs w:val="30"/>
          <w:highlight w:val="none"/>
          <w:u w:val="none"/>
        </w:rPr>
        <w:t>按照人均用地不少于0.1平方米的标准， 分区分级规划设置社区养老服务设施。</w:t>
      </w:r>
      <w:r>
        <w:rPr>
          <w:rFonts w:hint="default" w:eastAsia="方正仿宋_GBK"/>
          <w:color w:val="auto"/>
          <w:sz w:val="30"/>
          <w:szCs w:val="30"/>
          <w:highlight w:val="none"/>
          <w:u w:val="none"/>
        </w:rPr>
        <w:t>保障建制镇（街道）具有综合服务功能的区域性养老服务中心不低于1处。</w:t>
      </w:r>
      <w:r>
        <w:rPr>
          <w:rFonts w:eastAsia="方正仿宋_GBK"/>
          <w:color w:val="auto"/>
          <w:sz w:val="30"/>
          <w:szCs w:val="30"/>
          <w:highlight w:val="none"/>
          <w:u w:val="none"/>
        </w:rPr>
        <w:t>新建住宅小区应按照每百户不少于20平方米建筑面积配建社区居家养老服务设施用房，且单处用房面积不得少于300平方米。保障县（市）殡仪服务站、殡仪馆以及城市公益性公墓建设空间。</w:t>
      </w:r>
      <w:r>
        <w:rPr>
          <w:rFonts w:hint="default" w:eastAsia="方正仿宋_GBK"/>
          <w:color w:val="auto"/>
          <w:sz w:val="30"/>
          <w:szCs w:val="30"/>
          <w:highlight w:val="none"/>
          <w:u w:val="none"/>
        </w:rPr>
        <w:t>保障经营性公墓和农村公益性墓地建设空间，鼓励邻近共建共享</w:t>
      </w:r>
      <w:r>
        <w:rPr>
          <w:rFonts w:eastAsia="方正仿宋_GBK"/>
          <w:color w:val="auto"/>
          <w:sz w:val="30"/>
          <w:szCs w:val="30"/>
          <w:highlight w:val="none"/>
          <w:u w:val="none"/>
        </w:rPr>
        <w:t>。</w:t>
      </w:r>
    </w:p>
    <w:p w14:paraId="741DB04C">
      <w:pPr>
        <w:pStyle w:val="6"/>
        <w:rPr>
          <w:color w:val="auto"/>
          <w:highlight w:val="none"/>
        </w:rPr>
      </w:pPr>
      <w:r>
        <w:rPr>
          <w:rFonts w:hint="eastAsia"/>
          <w:color w:val="auto"/>
          <w:highlight w:val="none"/>
        </w:rPr>
        <w:t>二、贯通城镇开发边界内外蓝绿空间</w:t>
      </w:r>
    </w:p>
    <w:p w14:paraId="32013EE8">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协调城镇与周边山水关系</w:t>
      </w:r>
      <w:r>
        <w:rPr>
          <w:rFonts w:ascii="方正楷体_GBK" w:eastAsia="方正楷体_GBK"/>
          <w:color w:val="auto"/>
          <w:sz w:val="30"/>
          <w:szCs w:val="30"/>
          <w:highlight w:val="none"/>
        </w:rPr>
        <w:t>。</w:t>
      </w:r>
      <w:r>
        <w:rPr>
          <w:rFonts w:eastAsia="方正仿宋_GBK"/>
          <w:color w:val="auto"/>
          <w:sz w:val="30"/>
          <w:szCs w:val="30"/>
          <w:highlight w:val="none"/>
        </w:rPr>
        <w:t>推进县（市）国土空间城市设计编制，强化城市设计对县（市）中心城区建设的指引，协调城镇开发边界内外关系，</w:t>
      </w:r>
      <w:r>
        <w:rPr>
          <w:rFonts w:hint="eastAsia" w:eastAsia="方正仿宋_GBK"/>
          <w:color w:val="auto"/>
          <w:sz w:val="30"/>
          <w:szCs w:val="30"/>
          <w:highlight w:val="none"/>
        </w:rPr>
        <w:t>依托交通总体框架，协调城乡建设和周边山水环境的整理空间关系和要素控制要求，合理组织开放空间体系与特色景观风貌系统，提升中心城区空间品质与活力。</w:t>
      </w:r>
    </w:p>
    <w:p w14:paraId="74D72850">
      <w:pPr>
        <w:overflowPunct w:val="0"/>
        <w:ind w:firstLine="600"/>
        <w:rPr>
          <w:rFonts w:eastAsia="方正仿宋_GBK"/>
          <w:color w:val="auto"/>
          <w:sz w:val="30"/>
          <w:szCs w:val="30"/>
          <w:highlight w:val="none"/>
        </w:rPr>
      </w:pPr>
      <w:r>
        <w:rPr>
          <w:rFonts w:ascii="方正楷体_GBK" w:eastAsia="方正楷体_GBK"/>
          <w:color w:val="auto"/>
          <w:sz w:val="30"/>
          <w:szCs w:val="30"/>
          <w:highlight w:val="none"/>
        </w:rPr>
        <w:t>促进城镇与周边山水田园共融。</w:t>
      </w:r>
      <w:r>
        <w:rPr>
          <w:rFonts w:eastAsia="方正仿宋_GBK"/>
          <w:color w:val="auto"/>
          <w:sz w:val="30"/>
          <w:szCs w:val="30"/>
          <w:highlight w:val="none"/>
        </w:rPr>
        <w:t>立足</w:t>
      </w:r>
      <w:r>
        <w:rPr>
          <w:rFonts w:hint="eastAsia" w:eastAsia="方正仿宋_GBK"/>
          <w:color w:val="auto"/>
          <w:sz w:val="30"/>
          <w:szCs w:val="30"/>
          <w:highlight w:val="none"/>
        </w:rPr>
        <w:t>滇中地区</w:t>
      </w:r>
      <w:r>
        <w:rPr>
          <w:rFonts w:eastAsia="方正仿宋_GBK"/>
          <w:color w:val="auto"/>
          <w:sz w:val="30"/>
          <w:szCs w:val="30"/>
          <w:highlight w:val="none"/>
        </w:rPr>
        <w:t>独特的自然生态、气候环境等优势，突出山地河谷、盆坝、湖滨等不同类型城镇的布局特点，顺应自然、利用自然，因地制宜建设具有</w:t>
      </w:r>
      <w:r>
        <w:rPr>
          <w:rFonts w:hint="eastAsia" w:eastAsia="方正仿宋_GBK"/>
          <w:color w:val="auto"/>
          <w:sz w:val="30"/>
          <w:szCs w:val="30"/>
          <w:highlight w:val="none"/>
        </w:rPr>
        <w:t>楚雄</w:t>
      </w:r>
      <w:r>
        <w:rPr>
          <w:rFonts w:eastAsia="方正仿宋_GBK"/>
          <w:color w:val="auto"/>
          <w:sz w:val="30"/>
          <w:szCs w:val="30"/>
          <w:highlight w:val="none"/>
        </w:rPr>
        <w:t>特色的山、水、城、田交相辉映的生态空间。山水林田湖</w:t>
      </w:r>
      <w:r>
        <w:rPr>
          <w:rFonts w:hint="eastAsia" w:eastAsia="方正仿宋_GBK"/>
          <w:color w:val="auto"/>
          <w:sz w:val="30"/>
          <w:szCs w:val="30"/>
          <w:highlight w:val="none"/>
        </w:rPr>
        <w:t>草</w:t>
      </w:r>
      <w:r>
        <w:rPr>
          <w:rFonts w:eastAsia="方正仿宋_GBK"/>
          <w:color w:val="auto"/>
          <w:sz w:val="30"/>
          <w:szCs w:val="30"/>
          <w:highlight w:val="none"/>
        </w:rPr>
        <w:t>等自然要素融入与渗透到城镇建设空间，合理利用自然生态资源为城镇生态、生产、生活提供功能需要。协调城镇建设与自然山水的关系，重视山水田城空间关系及视线廊道处理，构筑</w:t>
      </w:r>
      <w:r>
        <w:rPr>
          <w:rFonts w:hint="eastAsia" w:eastAsia="方正仿宋_GBK"/>
          <w:color w:val="auto"/>
          <w:sz w:val="30"/>
          <w:szCs w:val="30"/>
          <w:highlight w:val="none"/>
        </w:rPr>
        <w:t>“</w:t>
      </w:r>
      <w:r>
        <w:rPr>
          <w:rFonts w:eastAsia="方正仿宋_GBK"/>
          <w:color w:val="auto"/>
          <w:sz w:val="30"/>
          <w:szCs w:val="30"/>
          <w:highlight w:val="none"/>
        </w:rPr>
        <w:t>显山露水</w:t>
      </w:r>
      <w:r>
        <w:rPr>
          <w:rFonts w:hint="eastAsia" w:eastAsia="方正仿宋_GBK"/>
          <w:color w:val="auto"/>
          <w:sz w:val="30"/>
          <w:szCs w:val="30"/>
          <w:highlight w:val="none"/>
        </w:rPr>
        <w:t>”</w:t>
      </w:r>
      <w:r>
        <w:rPr>
          <w:rFonts w:eastAsia="方正仿宋_GBK"/>
          <w:color w:val="auto"/>
          <w:sz w:val="30"/>
          <w:szCs w:val="30"/>
          <w:highlight w:val="none"/>
        </w:rPr>
        <w:t>的城镇形态，促进城镇与周边优越的生态环境相融合。严格保护湖泊、河流水系，控制生态岸线，严禁环湖、滨水</w:t>
      </w:r>
      <w:r>
        <w:rPr>
          <w:rFonts w:hint="eastAsia" w:eastAsia="方正仿宋_GBK"/>
          <w:color w:val="auto"/>
          <w:sz w:val="30"/>
          <w:szCs w:val="30"/>
          <w:highlight w:val="none"/>
        </w:rPr>
        <w:t>“</w:t>
      </w:r>
      <w:r>
        <w:rPr>
          <w:rFonts w:eastAsia="方正仿宋_GBK"/>
          <w:color w:val="auto"/>
          <w:sz w:val="30"/>
          <w:szCs w:val="30"/>
          <w:highlight w:val="none"/>
        </w:rPr>
        <w:t>铁桶式</w:t>
      </w:r>
      <w:r>
        <w:rPr>
          <w:rFonts w:hint="eastAsia" w:eastAsia="方正仿宋_GBK"/>
          <w:color w:val="auto"/>
          <w:sz w:val="30"/>
          <w:szCs w:val="30"/>
          <w:highlight w:val="none"/>
        </w:rPr>
        <w:t>”</w:t>
      </w:r>
      <w:r>
        <w:rPr>
          <w:rFonts w:eastAsia="方正仿宋_GBK"/>
          <w:color w:val="auto"/>
          <w:sz w:val="30"/>
          <w:szCs w:val="30"/>
          <w:highlight w:val="none"/>
        </w:rPr>
        <w:t>开发。</w:t>
      </w:r>
    </w:p>
    <w:p w14:paraId="7D3283B0">
      <w:pPr>
        <w:overflowPunct w:val="0"/>
        <w:ind w:firstLine="600"/>
        <w:rPr>
          <w:rFonts w:ascii="宋体" w:hAnsi="宋体" w:cs="仿宋_GB2312"/>
          <w:color w:val="auto"/>
          <w:sz w:val="30"/>
          <w:szCs w:val="30"/>
          <w:highlight w:val="none"/>
        </w:rPr>
      </w:pPr>
      <w:r>
        <w:rPr>
          <w:rFonts w:ascii="方正楷体_GBK" w:eastAsia="方正楷体_GBK"/>
          <w:color w:val="auto"/>
          <w:sz w:val="30"/>
          <w:szCs w:val="30"/>
          <w:highlight w:val="none"/>
        </w:rPr>
        <w:t>畅通城镇开发边界内外</w:t>
      </w:r>
      <w:r>
        <w:rPr>
          <w:rFonts w:hint="eastAsia" w:ascii="方正楷体_GBK" w:eastAsia="方正楷体_GBK"/>
          <w:color w:val="auto"/>
          <w:sz w:val="30"/>
          <w:szCs w:val="30"/>
          <w:highlight w:val="none"/>
        </w:rPr>
        <w:t>绿地</w:t>
      </w:r>
      <w:r>
        <w:rPr>
          <w:rFonts w:ascii="方正楷体_GBK" w:eastAsia="方正楷体_GBK"/>
          <w:color w:val="auto"/>
          <w:sz w:val="30"/>
          <w:szCs w:val="30"/>
          <w:highlight w:val="none"/>
        </w:rPr>
        <w:t>空间。</w:t>
      </w:r>
      <w:r>
        <w:rPr>
          <w:rFonts w:eastAsia="方正仿宋_GBK"/>
          <w:color w:val="auto"/>
          <w:sz w:val="30"/>
          <w:szCs w:val="30"/>
          <w:highlight w:val="none"/>
        </w:rPr>
        <w:t>按照环山、顺水、沿城、连景的要求，构建融合生态保护、休闲游憩等多种功能的</w:t>
      </w:r>
      <w:r>
        <w:rPr>
          <w:rFonts w:hint="eastAsia" w:eastAsia="方正仿宋_GBK"/>
          <w:color w:val="auto"/>
          <w:sz w:val="30"/>
          <w:szCs w:val="30"/>
          <w:highlight w:val="none"/>
        </w:rPr>
        <w:t>“</w:t>
      </w:r>
      <w:r>
        <w:rPr>
          <w:rFonts w:eastAsia="方正仿宋_GBK"/>
          <w:color w:val="auto"/>
          <w:sz w:val="30"/>
          <w:szCs w:val="30"/>
          <w:highlight w:val="none"/>
        </w:rPr>
        <w:t>绿</w:t>
      </w:r>
      <w:r>
        <w:rPr>
          <w:rFonts w:hint="eastAsia" w:eastAsia="方正仿宋_GBK"/>
          <w:color w:val="auto"/>
          <w:sz w:val="30"/>
          <w:szCs w:val="30"/>
          <w:highlight w:val="none"/>
        </w:rPr>
        <w:t>”</w:t>
      </w:r>
      <w:r>
        <w:rPr>
          <w:rFonts w:eastAsia="方正仿宋_GBK"/>
          <w:color w:val="auto"/>
          <w:sz w:val="30"/>
          <w:szCs w:val="30"/>
          <w:highlight w:val="none"/>
        </w:rPr>
        <w:t>道网络，打通区域及城乡生态廊道，串接山、水、城、田。拓宽沿城市主导风向的大型线状生态要素，使之贯通城区，引导城市空气流动，促进大气良性循环，改善城市空气品质，提升体感舒适度，</w:t>
      </w:r>
      <w:r>
        <w:rPr>
          <w:rFonts w:hint="eastAsia" w:eastAsia="方正仿宋_GBK"/>
          <w:color w:val="auto"/>
          <w:sz w:val="30"/>
          <w:szCs w:val="30"/>
          <w:highlight w:val="none"/>
        </w:rPr>
        <w:t>构建</w:t>
      </w:r>
      <w:r>
        <w:rPr>
          <w:rFonts w:eastAsia="方正仿宋_GBK"/>
          <w:color w:val="auto"/>
          <w:sz w:val="30"/>
          <w:szCs w:val="30"/>
          <w:highlight w:val="none"/>
        </w:rPr>
        <w:t>复合型通风廊道。加强林水结合，推进高速公路两侧、主干路两侧道路廊道林地建设，完善沿路生态廊道建设。</w:t>
      </w:r>
    </w:p>
    <w:p w14:paraId="15F2F63E">
      <w:pPr>
        <w:overflowPunct w:val="0"/>
        <w:ind w:firstLine="600"/>
        <w:rPr>
          <w:rFonts w:ascii="宋体" w:hAnsi="宋体" w:cs="仿宋_GB2312"/>
          <w:color w:val="auto"/>
          <w:highlight w:val="none"/>
        </w:rPr>
      </w:pPr>
      <w:r>
        <w:rPr>
          <w:rFonts w:ascii="方正楷体_GBK" w:eastAsia="方正楷体_GBK"/>
          <w:color w:val="auto"/>
          <w:sz w:val="30"/>
          <w:szCs w:val="30"/>
          <w:highlight w:val="none"/>
        </w:rPr>
        <w:t>全面推进绿美</w:t>
      </w:r>
      <w:r>
        <w:rPr>
          <w:rFonts w:hint="eastAsia" w:ascii="方正楷体_GBK" w:eastAsia="方正楷体_GBK"/>
          <w:color w:val="auto"/>
          <w:sz w:val="30"/>
          <w:szCs w:val="30"/>
          <w:highlight w:val="none"/>
        </w:rPr>
        <w:t>城市</w:t>
      </w:r>
      <w:r>
        <w:rPr>
          <w:rFonts w:ascii="方正楷体_GBK" w:eastAsia="方正楷体_GBK"/>
          <w:color w:val="auto"/>
          <w:sz w:val="30"/>
          <w:szCs w:val="30"/>
          <w:highlight w:val="none"/>
        </w:rPr>
        <w:t>建设。</w:t>
      </w:r>
      <w:r>
        <w:rPr>
          <w:rFonts w:eastAsia="方正仿宋_GBK"/>
          <w:color w:val="auto"/>
          <w:sz w:val="30"/>
          <w:szCs w:val="30"/>
          <w:highlight w:val="none"/>
        </w:rPr>
        <w:t>建设城市绿道网络体系，合理规划建设综合公园、专类公园、社区公园、口袋公园等公园体系。推广立交桥、人行天桥、围栏、墙面、屋顶等立体绿化美化。充分利用各种空闲地、废弃地、边角地等拆违建绿、留白增绿、破墙透绿、见缝插绿，着力增加绿量。公共区域绿化配置花坛花境、园林小品、宣传栏、座椅、游径等供市民游憩，让人</w:t>
      </w:r>
      <w:r>
        <w:rPr>
          <w:rFonts w:hint="eastAsia" w:eastAsia="方正仿宋_GBK"/>
          <w:color w:val="auto"/>
          <w:sz w:val="30"/>
          <w:szCs w:val="30"/>
          <w:highlight w:val="none"/>
        </w:rPr>
        <w:t>“</w:t>
      </w:r>
      <w:r>
        <w:rPr>
          <w:rFonts w:eastAsia="方正仿宋_GBK"/>
          <w:color w:val="auto"/>
          <w:sz w:val="30"/>
          <w:szCs w:val="30"/>
          <w:highlight w:val="none"/>
        </w:rPr>
        <w:t>进得去、有得看、留得住</w:t>
      </w:r>
      <w:r>
        <w:rPr>
          <w:rFonts w:hint="eastAsia" w:eastAsia="方正仿宋_GBK"/>
          <w:color w:val="auto"/>
          <w:sz w:val="30"/>
          <w:szCs w:val="30"/>
          <w:highlight w:val="none"/>
        </w:rPr>
        <w:t>”</w:t>
      </w:r>
      <w:r>
        <w:rPr>
          <w:rFonts w:eastAsia="方正仿宋_GBK"/>
          <w:color w:val="auto"/>
          <w:sz w:val="30"/>
          <w:szCs w:val="30"/>
          <w:highlight w:val="none"/>
        </w:rPr>
        <w:t>。做好城市面山、河湖绿化美化提升和城郊补绿提质工作。</w:t>
      </w:r>
    </w:p>
    <w:p w14:paraId="24DD7361">
      <w:pPr>
        <w:pStyle w:val="11"/>
        <w:rPr>
          <w:color w:val="auto"/>
          <w:highlight w:val="none"/>
        </w:rPr>
      </w:pPr>
      <w:r>
        <w:rPr>
          <w:color w:val="auto"/>
          <w:highlight w:val="none"/>
        </w:rPr>
        <w:t>专栏</w:t>
      </w:r>
      <w:r>
        <w:rPr>
          <w:rFonts w:hint="eastAsia"/>
          <w:color w:val="auto"/>
          <w:highlight w:val="none"/>
        </w:rPr>
        <w:t>1</w:t>
      </w:r>
      <w:r>
        <w:rPr>
          <w:rFonts w:hint="eastAsia"/>
          <w:color w:val="auto"/>
          <w:highlight w:val="none"/>
          <w:lang w:val="en-US" w:eastAsia="zh-CN"/>
        </w:rPr>
        <w:t>2</w:t>
      </w:r>
      <w:r>
        <w:rPr>
          <w:color w:val="auto"/>
          <w:highlight w:val="none"/>
        </w:rPr>
        <w:t xml:space="preserve">  </w:t>
      </w:r>
      <w:r>
        <w:rPr>
          <w:rFonts w:hint="eastAsia"/>
          <w:color w:val="auto"/>
          <w:highlight w:val="none"/>
        </w:rPr>
        <w:t>县（市）城镇开发边界内外贯通协调重点</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7177"/>
      </w:tblGrid>
      <w:tr w14:paraId="5761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8" w:type="pct"/>
            <w:vAlign w:val="center"/>
          </w:tcPr>
          <w:p w14:paraId="5EA0155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县（市）</w:t>
            </w:r>
          </w:p>
        </w:tc>
        <w:tc>
          <w:tcPr>
            <w:tcW w:w="4062" w:type="pct"/>
            <w:vAlign w:val="center"/>
          </w:tcPr>
          <w:p w14:paraId="3E5ED6C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发展指引</w:t>
            </w:r>
          </w:p>
        </w:tc>
      </w:tr>
      <w:tr w14:paraId="6D7B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5D16E5D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楚雄城区</w:t>
            </w:r>
          </w:p>
        </w:tc>
        <w:tc>
          <w:tcPr>
            <w:tcW w:w="4062" w:type="pct"/>
            <w:vAlign w:val="center"/>
          </w:tcPr>
          <w:p w14:paraId="527BABD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重点协调城区与两江（龙川江、青龙河）、鹿城坝子和四周山体的关系。</w:t>
            </w:r>
          </w:p>
        </w:tc>
      </w:tr>
      <w:tr w14:paraId="44B5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2A97796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禄丰城区</w:t>
            </w:r>
          </w:p>
        </w:tc>
        <w:tc>
          <w:tcPr>
            <w:tcW w:w="4062" w:type="pct"/>
            <w:vAlign w:val="center"/>
          </w:tcPr>
          <w:p w14:paraId="1019B15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结合南北向水系贯通延伸城区内外绿地和公共空间。</w:t>
            </w:r>
          </w:p>
        </w:tc>
      </w:tr>
      <w:tr w14:paraId="4B48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005680C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南华县城</w:t>
            </w:r>
          </w:p>
        </w:tc>
        <w:tc>
          <w:tcPr>
            <w:tcW w:w="4062" w:type="pct"/>
            <w:vAlign w:val="center"/>
          </w:tcPr>
          <w:p w14:paraId="11963A5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协调鹦鹉山、东西小河、毛板桥大沟与城区的关系。</w:t>
            </w:r>
          </w:p>
        </w:tc>
      </w:tr>
      <w:tr w14:paraId="2084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46E08EC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双柏县城</w:t>
            </w:r>
          </w:p>
        </w:tc>
        <w:tc>
          <w:tcPr>
            <w:tcW w:w="4062" w:type="pct"/>
            <w:vAlign w:val="center"/>
          </w:tcPr>
          <w:p w14:paraId="2FD1D92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依托县城内景观较好的山体疏通景观廊道。</w:t>
            </w:r>
          </w:p>
        </w:tc>
      </w:tr>
      <w:tr w14:paraId="029D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1EC212C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牟定县城</w:t>
            </w:r>
          </w:p>
        </w:tc>
        <w:tc>
          <w:tcPr>
            <w:tcW w:w="4062" w:type="pct"/>
            <w:vAlign w:val="center"/>
          </w:tcPr>
          <w:p w14:paraId="16562A3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推进龙川河、东山、化佛山公共空间及绿道体系串联。</w:t>
            </w:r>
          </w:p>
        </w:tc>
      </w:tr>
      <w:tr w14:paraId="62CE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690BFE8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姚安县城</w:t>
            </w:r>
          </w:p>
        </w:tc>
        <w:tc>
          <w:tcPr>
            <w:tcW w:w="4062" w:type="pct"/>
            <w:vAlign w:val="center"/>
          </w:tcPr>
          <w:p w14:paraId="0C31852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协调城区与四周群山、西运河、中运河及城区外围坝区的关系。</w:t>
            </w:r>
          </w:p>
        </w:tc>
      </w:tr>
      <w:tr w14:paraId="0D58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33F1E95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大姚县城</w:t>
            </w:r>
          </w:p>
        </w:tc>
        <w:tc>
          <w:tcPr>
            <w:tcW w:w="4062" w:type="pct"/>
            <w:vAlign w:val="center"/>
          </w:tcPr>
          <w:p w14:paraId="6291C5A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协调城区东部山体、西河、小南河“山水连城”的格局。</w:t>
            </w:r>
          </w:p>
        </w:tc>
      </w:tr>
      <w:tr w14:paraId="4599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219AC90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永仁县城</w:t>
            </w:r>
          </w:p>
        </w:tc>
        <w:tc>
          <w:tcPr>
            <w:tcW w:w="4062" w:type="pct"/>
            <w:vAlign w:val="center"/>
          </w:tcPr>
          <w:p w14:paraId="4A1FEB7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协调东部山体、永定河、山地丘陵和城区的关系。</w:t>
            </w:r>
          </w:p>
        </w:tc>
      </w:tr>
      <w:tr w14:paraId="6102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3C22851B">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元谋县城</w:t>
            </w:r>
          </w:p>
        </w:tc>
        <w:tc>
          <w:tcPr>
            <w:tcW w:w="4062" w:type="pct"/>
            <w:vAlign w:val="center"/>
          </w:tcPr>
          <w:p w14:paraId="1359399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协调四周群山、高原平坝、龙川江、山水田园和城区关系。</w:t>
            </w:r>
          </w:p>
        </w:tc>
      </w:tr>
      <w:tr w14:paraId="0B67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34CD24F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武定县城</w:t>
            </w:r>
          </w:p>
        </w:tc>
        <w:tc>
          <w:tcPr>
            <w:tcW w:w="4062" w:type="pct"/>
            <w:vAlign w:val="center"/>
          </w:tcPr>
          <w:p w14:paraId="3D0F34C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协调城区与外围狮子山、文笔山、洒普山、玄真山、白塔等视线廊道的贯通。</w:t>
            </w:r>
          </w:p>
        </w:tc>
      </w:tr>
    </w:tbl>
    <w:p w14:paraId="1D7DA60A">
      <w:pPr>
        <w:pStyle w:val="6"/>
        <w:rPr>
          <w:color w:val="auto"/>
          <w:highlight w:val="none"/>
        </w:rPr>
      </w:pPr>
      <w:r>
        <w:rPr>
          <w:rFonts w:hint="eastAsia"/>
          <w:color w:val="auto"/>
          <w:highlight w:val="none"/>
        </w:rPr>
        <w:t>三、增强城镇韧性防灾能力</w:t>
      </w:r>
    </w:p>
    <w:p w14:paraId="7857847A">
      <w:pPr>
        <w:ind w:firstLine="600"/>
        <w:rPr>
          <w:rFonts w:eastAsia="方正仿宋_GBK"/>
          <w:color w:val="auto"/>
          <w:sz w:val="30"/>
          <w:szCs w:val="30"/>
          <w:highlight w:val="none"/>
        </w:rPr>
      </w:pPr>
      <w:r>
        <w:rPr>
          <w:rFonts w:ascii="方正楷体_GBK" w:eastAsia="方正楷体_GBK"/>
          <w:color w:val="auto"/>
          <w:sz w:val="30"/>
          <w:szCs w:val="30"/>
          <w:highlight w:val="none"/>
        </w:rPr>
        <w:t>推动海绵城市建设。</w:t>
      </w:r>
      <w:r>
        <w:rPr>
          <w:rFonts w:eastAsia="方正仿宋_GBK"/>
          <w:color w:val="auto"/>
          <w:sz w:val="30"/>
          <w:szCs w:val="30"/>
          <w:highlight w:val="none"/>
        </w:rPr>
        <w:t>转变城市排水思路，采取</w:t>
      </w:r>
      <w:r>
        <w:rPr>
          <w:rFonts w:hint="eastAsia" w:eastAsia="方正仿宋_GBK"/>
          <w:color w:val="auto"/>
          <w:sz w:val="30"/>
          <w:szCs w:val="30"/>
          <w:highlight w:val="none"/>
        </w:rPr>
        <w:t>“</w:t>
      </w:r>
      <w:r>
        <w:rPr>
          <w:rFonts w:eastAsia="方正仿宋_GBK"/>
          <w:color w:val="auto"/>
          <w:sz w:val="30"/>
          <w:szCs w:val="30"/>
          <w:highlight w:val="none"/>
        </w:rPr>
        <w:t>渗、滞、蓄、净、用、排</w:t>
      </w:r>
      <w:r>
        <w:rPr>
          <w:rFonts w:hint="eastAsia" w:eastAsia="方正仿宋_GBK"/>
          <w:color w:val="auto"/>
          <w:sz w:val="30"/>
          <w:szCs w:val="30"/>
          <w:highlight w:val="none"/>
        </w:rPr>
        <w:t>”</w:t>
      </w:r>
      <w:r>
        <w:rPr>
          <w:rFonts w:eastAsia="方正仿宋_GBK"/>
          <w:color w:val="auto"/>
          <w:sz w:val="30"/>
          <w:szCs w:val="30"/>
          <w:highlight w:val="none"/>
        </w:rPr>
        <w:t>措施，统筹考虑内涝防治、径流污染控制、雨水资源化利用和水生态修复等多个目标，协调城镇水体、绿地、广场等空间的利用，落实海绵城市建设任务，实现城市建设与资源环境的协调发展。</w:t>
      </w:r>
    </w:p>
    <w:p w14:paraId="50823B06">
      <w:pPr>
        <w:ind w:firstLine="600"/>
        <w:rPr>
          <w:rFonts w:eastAsia="方正仿宋_GBK"/>
          <w:color w:val="auto"/>
          <w:sz w:val="30"/>
          <w:szCs w:val="30"/>
          <w:highlight w:val="none"/>
        </w:rPr>
      </w:pPr>
      <w:r>
        <w:rPr>
          <w:rFonts w:ascii="方正楷体_GBK" w:eastAsia="方正楷体_GBK"/>
          <w:color w:val="auto"/>
          <w:sz w:val="30"/>
          <w:szCs w:val="30"/>
          <w:highlight w:val="none"/>
        </w:rPr>
        <w:t>强化地下空间开发利用。</w:t>
      </w:r>
      <w:r>
        <w:rPr>
          <w:rFonts w:eastAsia="方正仿宋_GBK"/>
          <w:color w:val="auto"/>
          <w:sz w:val="30"/>
          <w:szCs w:val="30"/>
          <w:highlight w:val="none"/>
        </w:rPr>
        <w:t>因地制宜推进地下综合管廊系统建设，提高管线建设体系化水平和安全运行保障能力，在城市老旧管网改造等工作中协同推进综合管廊建设。对城市道路地下空间开展综合开发利用，充分挖掘城市道路地下空间的潜能，确保城市</w:t>
      </w:r>
      <w:r>
        <w:rPr>
          <w:rFonts w:hint="eastAsia" w:eastAsia="方正仿宋_GBK"/>
          <w:color w:val="auto"/>
          <w:sz w:val="30"/>
          <w:szCs w:val="30"/>
          <w:highlight w:val="none"/>
        </w:rPr>
        <w:t>“</w:t>
      </w:r>
      <w:r>
        <w:rPr>
          <w:rFonts w:eastAsia="方正仿宋_GBK"/>
          <w:color w:val="auto"/>
          <w:sz w:val="30"/>
          <w:szCs w:val="30"/>
          <w:highlight w:val="none"/>
        </w:rPr>
        <w:t>生命线</w:t>
      </w:r>
      <w:r>
        <w:rPr>
          <w:rFonts w:hint="eastAsia" w:eastAsia="方正仿宋_GBK"/>
          <w:color w:val="auto"/>
          <w:sz w:val="30"/>
          <w:szCs w:val="30"/>
          <w:highlight w:val="none"/>
        </w:rPr>
        <w:t>”</w:t>
      </w:r>
      <w:r>
        <w:rPr>
          <w:rFonts w:eastAsia="方正仿宋_GBK"/>
          <w:color w:val="auto"/>
          <w:sz w:val="30"/>
          <w:szCs w:val="30"/>
          <w:highlight w:val="none"/>
        </w:rPr>
        <w:t>的稳定安全。</w:t>
      </w:r>
    </w:p>
    <w:p w14:paraId="2F1F3504">
      <w:pPr>
        <w:ind w:firstLine="600"/>
        <w:rPr>
          <w:rFonts w:eastAsia="方正仿宋_GBK"/>
          <w:color w:val="auto"/>
          <w:sz w:val="30"/>
          <w:szCs w:val="30"/>
          <w:highlight w:val="none"/>
        </w:rPr>
      </w:pPr>
      <w:r>
        <w:rPr>
          <w:rFonts w:ascii="方正楷体_GBK" w:eastAsia="方正楷体_GBK"/>
          <w:color w:val="auto"/>
          <w:sz w:val="30"/>
          <w:szCs w:val="30"/>
          <w:highlight w:val="none"/>
        </w:rPr>
        <w:t>加强防洪排涝体系建设。</w:t>
      </w:r>
      <w:r>
        <w:rPr>
          <w:rFonts w:eastAsia="方正仿宋_GBK"/>
          <w:color w:val="auto"/>
          <w:sz w:val="30"/>
          <w:szCs w:val="30"/>
          <w:highlight w:val="none"/>
        </w:rPr>
        <w:t>构建以湖塘湿地水系为主体的城镇排蓄大系统，完善城镇骨干排水系统，解决防洪排涝水系及设施的结构性问题，加强调蓄、蓄排结合，提高城镇防洪排涝应急能力。构建海绵城市的自然生态空间格局，建设源头低影响开发雨水系统，控制雨水径流，缓解城市排水防涝压力。</w:t>
      </w:r>
    </w:p>
    <w:p w14:paraId="5B419A24">
      <w:pPr>
        <w:ind w:firstLine="600"/>
        <w:rPr>
          <w:color w:val="auto"/>
          <w:sz w:val="30"/>
          <w:szCs w:val="30"/>
          <w:highlight w:val="none"/>
        </w:rPr>
      </w:pPr>
      <w:r>
        <w:rPr>
          <w:rFonts w:ascii="方正楷体_GBK" w:eastAsia="方正楷体_GBK"/>
          <w:color w:val="auto"/>
          <w:sz w:val="30"/>
          <w:szCs w:val="30"/>
          <w:highlight w:val="none"/>
        </w:rPr>
        <w:t>促进消防体系建设。</w:t>
      </w:r>
      <w:r>
        <w:rPr>
          <w:rFonts w:eastAsia="方正仿宋_GBK"/>
          <w:color w:val="auto"/>
          <w:sz w:val="30"/>
          <w:szCs w:val="30"/>
          <w:highlight w:val="none"/>
        </w:rPr>
        <w:t>优化城市消防安全布局，完善消防队站、市政消火栓等公共基础消防设施建设。构建以城市功能化分区防火体系为核心的城市消防安全体系，统筹公共消防基础设施、应急救援基地等重大项目用地，预留应急公共安全设施空间，结合规划留白，预留应急公共安全设施用地，实现韧性防火区域协调一体化。充分利用物联网、大数据、云计算、移动互联、区块链、人工智能等新兴技术，构建智慧消防体系，保障城市安全发展。</w:t>
      </w:r>
    </w:p>
    <w:p w14:paraId="7EC3400D">
      <w:pPr>
        <w:ind w:firstLine="600"/>
        <w:rPr>
          <w:rFonts w:eastAsia="方正仿宋_GBK"/>
          <w:color w:val="auto"/>
          <w:sz w:val="30"/>
          <w:szCs w:val="30"/>
          <w:highlight w:val="none"/>
        </w:rPr>
      </w:pPr>
      <w:r>
        <w:rPr>
          <w:rFonts w:ascii="方正楷体_GBK" w:eastAsia="方正楷体_GBK"/>
          <w:color w:val="auto"/>
          <w:sz w:val="30"/>
          <w:szCs w:val="30"/>
          <w:highlight w:val="none"/>
        </w:rPr>
        <w:t>保障公共卫生安全设施用地。</w:t>
      </w:r>
      <w:r>
        <w:rPr>
          <w:rFonts w:eastAsia="方正仿宋_GBK"/>
          <w:color w:val="auto"/>
          <w:sz w:val="30"/>
          <w:szCs w:val="30"/>
          <w:highlight w:val="none"/>
        </w:rPr>
        <w:t>合理规划设置与城镇定位相匹配的公共卫生服务体系，保障周边乡村、邻近城镇、旅游度假等实际服务人口需求。加强配套卫生健康基础设施建设，提升应对重大突发公共卫生事件的应急防治能力。统筹公共卫生设施用地，预留应急公共安全设施空间，结合规划留白、远期预留公共设施和市政设施用地，充分考虑用地兼容性。优化应急避难场所布局，提高</w:t>
      </w:r>
      <w:r>
        <w:rPr>
          <w:rFonts w:hint="eastAsia" w:eastAsia="方正仿宋_GBK"/>
          <w:color w:val="auto"/>
          <w:sz w:val="30"/>
          <w:szCs w:val="30"/>
          <w:highlight w:val="none"/>
        </w:rPr>
        <w:t>城市</w:t>
      </w:r>
      <w:r>
        <w:rPr>
          <w:rFonts w:eastAsia="方正仿宋_GBK"/>
          <w:color w:val="auto"/>
          <w:sz w:val="30"/>
          <w:szCs w:val="30"/>
          <w:highlight w:val="none"/>
        </w:rPr>
        <w:t>应急避难能力。</w:t>
      </w:r>
    </w:p>
    <w:p w14:paraId="237D1EEC">
      <w:pPr>
        <w:ind w:firstLine="600"/>
        <w:rPr>
          <w:color w:val="auto"/>
          <w:sz w:val="30"/>
          <w:szCs w:val="30"/>
          <w:highlight w:val="none"/>
        </w:rPr>
      </w:pPr>
      <w:r>
        <w:rPr>
          <w:rFonts w:ascii="方正楷体_GBK" w:eastAsia="方正楷体_GBK"/>
          <w:color w:val="auto"/>
          <w:sz w:val="30"/>
          <w:szCs w:val="30"/>
          <w:highlight w:val="none"/>
        </w:rPr>
        <w:t>推进智慧城市建设。</w:t>
      </w:r>
      <w:r>
        <w:rPr>
          <w:rFonts w:eastAsia="方正仿宋_GBK"/>
          <w:color w:val="auto"/>
          <w:sz w:val="30"/>
          <w:szCs w:val="30"/>
          <w:highlight w:val="none"/>
        </w:rPr>
        <w:t>推进新型城镇化和信息化深度融合，夯实数字城市基础设施，充分利用5G、云计算、大数据、物联网、人工智能等新一代信息技术，加快城市基础设施数字化改造和</w:t>
      </w:r>
      <w:r>
        <w:rPr>
          <w:rFonts w:hint="eastAsia" w:eastAsia="方正仿宋_GBK"/>
          <w:color w:val="auto"/>
          <w:sz w:val="30"/>
          <w:szCs w:val="30"/>
          <w:highlight w:val="none"/>
        </w:rPr>
        <w:t>“</w:t>
      </w:r>
      <w:r>
        <w:rPr>
          <w:rFonts w:eastAsia="方正仿宋_GBK"/>
          <w:color w:val="auto"/>
          <w:sz w:val="30"/>
          <w:szCs w:val="30"/>
          <w:highlight w:val="none"/>
        </w:rPr>
        <w:t>智慧+</w:t>
      </w:r>
      <w:r>
        <w:rPr>
          <w:rFonts w:hint="eastAsia" w:eastAsia="方正仿宋_GBK"/>
          <w:color w:val="auto"/>
          <w:sz w:val="30"/>
          <w:szCs w:val="30"/>
          <w:highlight w:val="none"/>
        </w:rPr>
        <w:t>”</w:t>
      </w:r>
      <w:r>
        <w:rPr>
          <w:rFonts w:eastAsia="方正仿宋_GBK"/>
          <w:color w:val="auto"/>
          <w:sz w:val="30"/>
          <w:szCs w:val="30"/>
          <w:highlight w:val="none"/>
        </w:rPr>
        <w:t>建设，建设集城市数据中枢、开放式智能运营平台于一体的</w:t>
      </w:r>
      <w:r>
        <w:rPr>
          <w:rFonts w:hint="eastAsia" w:eastAsia="方正仿宋_GBK"/>
          <w:color w:val="auto"/>
          <w:sz w:val="30"/>
          <w:szCs w:val="30"/>
          <w:highlight w:val="none"/>
        </w:rPr>
        <w:t>“</w:t>
      </w:r>
      <w:r>
        <w:rPr>
          <w:rFonts w:eastAsia="方正仿宋_GBK"/>
          <w:color w:val="auto"/>
          <w:sz w:val="30"/>
          <w:szCs w:val="30"/>
          <w:highlight w:val="none"/>
        </w:rPr>
        <w:t>城市大脑</w:t>
      </w:r>
      <w:r>
        <w:rPr>
          <w:rFonts w:hint="eastAsia" w:eastAsia="方正仿宋_GBK"/>
          <w:color w:val="auto"/>
          <w:sz w:val="30"/>
          <w:szCs w:val="30"/>
          <w:highlight w:val="none"/>
        </w:rPr>
        <w:t>”</w:t>
      </w:r>
      <w:r>
        <w:rPr>
          <w:rFonts w:eastAsia="方正仿宋_GBK"/>
          <w:color w:val="auto"/>
          <w:sz w:val="30"/>
          <w:szCs w:val="30"/>
          <w:highlight w:val="none"/>
        </w:rPr>
        <w:t>，推动涵盖城市管理、民生服务、社会治理等领域的智慧城市建设，全面提升城市智慧化建设和精细化管理水平，构筑美好数字生活。</w:t>
      </w:r>
    </w:p>
    <w:p w14:paraId="1218024D">
      <w:pPr>
        <w:pStyle w:val="6"/>
        <w:rPr>
          <w:color w:val="auto"/>
          <w:highlight w:val="none"/>
        </w:rPr>
      </w:pPr>
      <w:r>
        <w:rPr>
          <w:rFonts w:hint="eastAsia"/>
          <w:color w:val="auto"/>
          <w:highlight w:val="none"/>
        </w:rPr>
        <w:t>四</w:t>
      </w:r>
      <w:r>
        <w:rPr>
          <w:color w:val="auto"/>
          <w:highlight w:val="none"/>
        </w:rPr>
        <w:t>、加快实施城市更新</w:t>
      </w:r>
    </w:p>
    <w:p w14:paraId="3E1D1126">
      <w:pPr>
        <w:ind w:firstLine="600"/>
        <w:rPr>
          <w:rFonts w:eastAsia="方正仿宋_GBK"/>
          <w:color w:val="auto"/>
          <w:sz w:val="30"/>
          <w:szCs w:val="30"/>
          <w:highlight w:val="none"/>
        </w:rPr>
      </w:pPr>
      <w:r>
        <w:rPr>
          <w:rFonts w:ascii="方正楷体_GBK" w:eastAsia="方正楷体_GBK"/>
          <w:color w:val="auto"/>
          <w:sz w:val="30"/>
          <w:szCs w:val="30"/>
          <w:highlight w:val="none"/>
        </w:rPr>
        <w:t>强化城市更新中心任务。</w:t>
      </w:r>
      <w:r>
        <w:rPr>
          <w:rFonts w:eastAsia="方正仿宋_GBK"/>
          <w:color w:val="auto"/>
          <w:sz w:val="30"/>
          <w:szCs w:val="30"/>
          <w:highlight w:val="none"/>
        </w:rPr>
        <w:t>重点完善城市空间布局、老旧区域改造、生态修复、基础设施与公共服务设施配套、智慧城市和新型基础设施建设、历史文化和城市风貌保护、激发城市活力、社区精细化建设等城市更新任务。科学布局城市教育、医疗卫生、养老托幼、健身休闲等设施。加快推进老旧小区、旧商业区、旧工业区、城中村（旧村）等片区城市更新。引导城市发展新业态，推进传统商圈商业提档升级，实施农贸市场等改造，积极引导商业、文化、休闲、康养等城市活力功能业态植入或现有品质提升，积极建设一批主题特色街区、公园等文化特色体验展示区。</w:t>
      </w:r>
    </w:p>
    <w:p w14:paraId="7C27BC16">
      <w:pPr>
        <w:ind w:firstLine="600"/>
        <w:rPr>
          <w:rFonts w:eastAsia="方正仿宋_GBK"/>
          <w:color w:val="auto"/>
          <w:sz w:val="30"/>
          <w:szCs w:val="30"/>
          <w:highlight w:val="none"/>
        </w:rPr>
      </w:pPr>
      <w:r>
        <w:rPr>
          <w:rFonts w:ascii="方正楷体_GBK" w:eastAsia="方正楷体_GBK"/>
          <w:color w:val="auto"/>
          <w:sz w:val="30"/>
          <w:szCs w:val="30"/>
          <w:highlight w:val="none"/>
        </w:rPr>
        <w:t>改造一批老旧街区。</w:t>
      </w:r>
      <w:r>
        <w:rPr>
          <w:rFonts w:eastAsia="方正仿宋_GBK"/>
          <w:color w:val="auto"/>
          <w:sz w:val="30"/>
          <w:szCs w:val="30"/>
          <w:highlight w:val="none"/>
        </w:rPr>
        <w:t>开展商业步行街升级改造，引导县（市）培育打造多条步行街，</w:t>
      </w:r>
      <w:r>
        <w:rPr>
          <w:rFonts w:hint="eastAsia" w:eastAsia="方正仿宋_GBK"/>
          <w:color w:val="auto"/>
          <w:sz w:val="30"/>
          <w:szCs w:val="30"/>
          <w:highlight w:val="none"/>
        </w:rPr>
        <w:t>支撑</w:t>
      </w:r>
      <w:r>
        <w:rPr>
          <w:rFonts w:eastAsia="方正仿宋_GBK"/>
          <w:color w:val="auto"/>
          <w:sz w:val="30"/>
          <w:szCs w:val="30"/>
          <w:highlight w:val="none"/>
        </w:rPr>
        <w:t>楚雄市彝人古镇、禄丰市金山古镇步行街等改造提升，率先打造展现独具特色的示范街区。改造一批城中村，探索在政府引导下工商资本与农民集体合作共赢模式。发展城市夜间经济，支持县（市）培育一批24小时便利店、深夜食堂、特色餐饮街区和特色精品夜市。加快推进老旧小区改造，按照</w:t>
      </w:r>
      <w:r>
        <w:rPr>
          <w:rFonts w:hint="eastAsia" w:eastAsia="方正仿宋_GBK"/>
          <w:color w:val="auto"/>
          <w:sz w:val="30"/>
          <w:szCs w:val="30"/>
          <w:highlight w:val="none"/>
        </w:rPr>
        <w:t>“</w:t>
      </w:r>
      <w:r>
        <w:rPr>
          <w:rFonts w:eastAsia="方正仿宋_GBK"/>
          <w:color w:val="auto"/>
          <w:sz w:val="30"/>
          <w:szCs w:val="30"/>
          <w:highlight w:val="none"/>
        </w:rPr>
        <w:t>一区一方案</w:t>
      </w:r>
      <w:r>
        <w:rPr>
          <w:rFonts w:hint="eastAsia" w:eastAsia="方正仿宋_GBK"/>
          <w:color w:val="auto"/>
          <w:sz w:val="30"/>
          <w:szCs w:val="30"/>
          <w:highlight w:val="none"/>
        </w:rPr>
        <w:t>”</w:t>
      </w:r>
      <w:r>
        <w:rPr>
          <w:rFonts w:eastAsia="方正仿宋_GBK"/>
          <w:color w:val="auto"/>
          <w:sz w:val="30"/>
          <w:szCs w:val="30"/>
          <w:highlight w:val="none"/>
        </w:rPr>
        <w:t>要求形成改造项目方案，建立居民参与改造方案的制定、配合施工、参与工程实施和质量的监督、评价和反馈小区改造效果的工作机制。</w:t>
      </w:r>
    </w:p>
    <w:p w14:paraId="1B679DAB">
      <w:pPr>
        <w:pStyle w:val="5"/>
        <w:rPr>
          <w:rFonts w:eastAsia="方正黑体简体"/>
          <w:color w:val="auto"/>
          <w:highlight w:val="none"/>
        </w:rPr>
      </w:pPr>
      <w:bookmarkStart w:id="199" w:name="_Toc131433175"/>
      <w:bookmarkStart w:id="200" w:name="_Toc131433341"/>
      <w:bookmarkStart w:id="201" w:name="_Toc12949"/>
      <w:bookmarkStart w:id="202" w:name="_Toc184639394"/>
      <w:r>
        <w:rPr>
          <w:color w:val="auto"/>
          <w:highlight w:val="none"/>
        </w:rPr>
        <w:t>第</w:t>
      </w:r>
      <w:r>
        <w:rPr>
          <w:rFonts w:hint="eastAsia"/>
          <w:color w:val="auto"/>
          <w:highlight w:val="none"/>
        </w:rPr>
        <w:t>五</w:t>
      </w:r>
      <w:r>
        <w:rPr>
          <w:color w:val="auto"/>
          <w:highlight w:val="none"/>
        </w:rPr>
        <w:t>节</w:t>
      </w:r>
      <w:r>
        <w:rPr>
          <w:rFonts w:eastAsia="方正黑体简体"/>
          <w:color w:val="auto"/>
          <w:highlight w:val="none"/>
        </w:rPr>
        <w:t xml:space="preserve"> </w:t>
      </w:r>
      <w:bookmarkEnd w:id="199"/>
      <w:bookmarkEnd w:id="200"/>
      <w:bookmarkEnd w:id="201"/>
      <w:r>
        <w:rPr>
          <w:rFonts w:hint="eastAsia"/>
          <w:color w:val="auto"/>
          <w:highlight w:val="none"/>
        </w:rPr>
        <w:t>促进城镇建设用地节约集约</w:t>
      </w:r>
      <w:bookmarkEnd w:id="202"/>
    </w:p>
    <w:p w14:paraId="71185E64">
      <w:pPr>
        <w:pStyle w:val="6"/>
        <w:rPr>
          <w:color w:val="auto"/>
          <w:highlight w:val="none"/>
        </w:rPr>
      </w:pPr>
      <w:r>
        <w:rPr>
          <w:color w:val="auto"/>
          <w:highlight w:val="none"/>
        </w:rPr>
        <w:t>一、精准配置城镇建设用地</w:t>
      </w:r>
    </w:p>
    <w:p w14:paraId="4EEA2826">
      <w:pPr>
        <w:ind w:firstLine="600"/>
        <w:rPr>
          <w:rFonts w:eastAsia="方正仿宋_GBK"/>
          <w:color w:val="auto"/>
          <w:sz w:val="30"/>
          <w:szCs w:val="30"/>
          <w:highlight w:val="none"/>
        </w:rPr>
      </w:pPr>
      <w:r>
        <w:rPr>
          <w:rFonts w:eastAsia="方正仿宋_GBK"/>
          <w:color w:val="auto"/>
          <w:sz w:val="30"/>
          <w:szCs w:val="30"/>
          <w:highlight w:val="none"/>
        </w:rPr>
        <w:t>按照节约集约要求完善各类建设用地标准，健全用地考核机制和评价体系，推广应用节地技术和节地模式。严格土地使用标准和节约集约评价，强化重大建设项目节约集约用地的刚性约束，新上项目应达到省同行业当前节约集约用地的先进水平。严格控制城镇建设用地总量，按照城镇开发边界范围和建设用地指标开展集中建设。新增城镇建设用地指标优先保障国家及省州重大项目的建设。</w:t>
      </w:r>
    </w:p>
    <w:p w14:paraId="08132388">
      <w:pPr>
        <w:pStyle w:val="6"/>
        <w:rPr>
          <w:color w:val="auto"/>
          <w:highlight w:val="none"/>
        </w:rPr>
      </w:pPr>
      <w:r>
        <w:rPr>
          <w:color w:val="auto"/>
          <w:highlight w:val="none"/>
        </w:rPr>
        <w:t>二、推进城镇低效用地再开发</w:t>
      </w:r>
    </w:p>
    <w:p w14:paraId="6146D732">
      <w:pPr>
        <w:ind w:firstLine="600"/>
        <w:rPr>
          <w:rFonts w:eastAsia="方正仿宋_GBK"/>
          <w:color w:val="auto"/>
          <w:sz w:val="30"/>
          <w:szCs w:val="30"/>
          <w:highlight w:val="none"/>
        </w:rPr>
      </w:pPr>
      <w:r>
        <w:rPr>
          <w:rFonts w:eastAsia="方正仿宋_GBK"/>
          <w:color w:val="auto"/>
          <w:sz w:val="30"/>
          <w:szCs w:val="30"/>
          <w:highlight w:val="none"/>
        </w:rPr>
        <w:t>分类处置批而未供土地，分类盘活闲置用地。重点推进楚雄、武定、元谋等批而未供土地的开发利用，按照</w:t>
      </w:r>
      <w:r>
        <w:rPr>
          <w:rFonts w:hint="eastAsia" w:eastAsia="方正仿宋_GBK"/>
          <w:color w:val="auto"/>
          <w:sz w:val="30"/>
          <w:szCs w:val="30"/>
          <w:highlight w:val="none"/>
        </w:rPr>
        <w:t>“</w:t>
      </w:r>
      <w:r>
        <w:rPr>
          <w:rFonts w:eastAsia="方正仿宋_GBK"/>
          <w:color w:val="auto"/>
          <w:sz w:val="30"/>
          <w:szCs w:val="30"/>
          <w:highlight w:val="none"/>
        </w:rPr>
        <w:t>一地一策</w:t>
      </w:r>
      <w:r>
        <w:rPr>
          <w:rFonts w:hint="eastAsia" w:eastAsia="方正仿宋_GBK"/>
          <w:color w:val="auto"/>
          <w:sz w:val="30"/>
          <w:szCs w:val="30"/>
          <w:highlight w:val="none"/>
        </w:rPr>
        <w:t>”</w:t>
      </w:r>
      <w:r>
        <w:rPr>
          <w:rFonts w:eastAsia="方正仿宋_GBK"/>
          <w:color w:val="auto"/>
          <w:sz w:val="30"/>
          <w:szCs w:val="30"/>
          <w:highlight w:val="none"/>
        </w:rPr>
        <w:t>制定分类处置方案。推进城市更新和低效用地再开发，加强对老城区、棚户区、旧厂房、城中村的改造和保护性开发，科学合理界定低效用地再开发范围，明确改造利用的目标任务、性质用途、规模布局、时序安排和保障措施等，落实改造</w:t>
      </w:r>
      <w:r>
        <w:rPr>
          <w:rFonts w:hint="eastAsia" w:eastAsia="方正仿宋_GBK"/>
          <w:color w:val="auto"/>
          <w:sz w:val="30"/>
          <w:szCs w:val="30"/>
          <w:highlight w:val="none"/>
        </w:rPr>
        <w:t>片区</w:t>
      </w:r>
      <w:r>
        <w:rPr>
          <w:rFonts w:eastAsia="方正仿宋_GBK"/>
          <w:color w:val="auto"/>
          <w:sz w:val="30"/>
          <w:szCs w:val="30"/>
          <w:highlight w:val="none"/>
        </w:rPr>
        <w:t>和地块，完善配套基础设施、公共服务设施，统筹城镇功能再造、产业结构调整。</w:t>
      </w:r>
    </w:p>
    <w:p w14:paraId="75BA7B3E">
      <w:pPr>
        <w:pStyle w:val="6"/>
        <w:rPr>
          <w:color w:val="auto"/>
          <w:highlight w:val="none"/>
        </w:rPr>
      </w:pPr>
      <w:r>
        <w:rPr>
          <w:color w:val="auto"/>
          <w:highlight w:val="none"/>
        </w:rPr>
        <w:t>三、鼓励土地混合开发与空间复合利用</w:t>
      </w:r>
    </w:p>
    <w:p w14:paraId="0E16F0D0">
      <w:pPr>
        <w:ind w:firstLine="600"/>
        <w:rPr>
          <w:rFonts w:eastAsia="方正仿宋_GBK"/>
          <w:color w:val="auto"/>
          <w:sz w:val="30"/>
          <w:szCs w:val="30"/>
          <w:highlight w:val="none"/>
        </w:rPr>
      </w:pPr>
      <w:r>
        <w:rPr>
          <w:rFonts w:eastAsia="方正仿宋_GBK"/>
          <w:color w:val="auto"/>
          <w:sz w:val="30"/>
          <w:szCs w:val="30"/>
          <w:highlight w:val="none"/>
        </w:rPr>
        <w:t>融合低效用地盘活等土地政策，统筹地上地下，鼓励开发利用地下空间、土地混合开发和空间复合利用，有序引导单一功能产业园区向产城融合的产业社区转变，提升存量土地节约集约利用水平和空间整体价值。推进商业、居住、公共服务、市政基础设施等用地的混合开发。加强工业用地与科研用地、居住用地的混合布局，引导产业园区向功能复合、职住平衡、循环低碳的综合型园区转变。</w:t>
      </w:r>
    </w:p>
    <w:p w14:paraId="212115A2">
      <w:pPr>
        <w:pStyle w:val="6"/>
        <w:rPr>
          <w:color w:val="auto"/>
          <w:highlight w:val="none"/>
        </w:rPr>
      </w:pPr>
      <w:r>
        <w:rPr>
          <w:color w:val="auto"/>
          <w:highlight w:val="none"/>
        </w:rPr>
        <w:t>四、健全存量土地利用政策机制</w:t>
      </w:r>
    </w:p>
    <w:p w14:paraId="0D47B8ED">
      <w:pPr>
        <w:ind w:firstLine="600"/>
        <w:rPr>
          <w:rFonts w:eastAsia="方正仿宋_GBK"/>
          <w:color w:val="auto"/>
          <w:sz w:val="30"/>
          <w:szCs w:val="30"/>
          <w:highlight w:val="none"/>
        </w:rPr>
      </w:pPr>
      <w:r>
        <w:rPr>
          <w:rFonts w:eastAsia="方正仿宋_GBK"/>
          <w:color w:val="auto"/>
          <w:sz w:val="30"/>
          <w:szCs w:val="30"/>
          <w:highlight w:val="none"/>
        </w:rPr>
        <w:t>探索实行长期租赁、先租后让、弹性年期出让的工业用地供应制度，加强建设项目用地标准控制。统筹城乡和区域的国土空间资源，完善与存量土地利用相适应的规划政策。土地开发利用应符合相应规划用途的土壤环境质量要求，支持土地混合开发和空间复合利用，促进城市内涵式集约型绿色化发展。将国土调查、不动产登记作为工作基础，结合规划实施评估，完善土地权属和用途变更、整合、置换等政策。引导消化城镇批而未供和闲置土地，严格控制新增闲置土地，推动城市存量空间盘整、激活和优化，支撑城市更新行动，提升城市价值。深化增存挂钩机制，加大批而未供和闲置土地的处置力度。</w:t>
      </w:r>
    </w:p>
    <w:p w14:paraId="4FE27ACE">
      <w:pPr>
        <w:pStyle w:val="63"/>
        <w:rPr>
          <w:color w:val="auto"/>
          <w:highlight w:val="none"/>
        </w:rPr>
        <w:sectPr>
          <w:pgSz w:w="11906" w:h="16838"/>
          <w:pgMar w:top="2041" w:right="1644" w:bottom="1871" w:left="1644" w:header="851" w:footer="992" w:gutter="0"/>
          <w:cols w:space="425" w:num="1"/>
          <w:docGrid w:type="linesAndChars" w:linePitch="312" w:charSpace="0"/>
        </w:sectPr>
      </w:pPr>
      <w:bookmarkStart w:id="203" w:name="_Toc514607223"/>
      <w:bookmarkEnd w:id="203"/>
      <w:bookmarkStart w:id="204" w:name="_Toc514607222"/>
      <w:bookmarkEnd w:id="204"/>
      <w:bookmarkStart w:id="205" w:name="_Toc11856"/>
      <w:bookmarkStart w:id="206" w:name="_Toc131433177"/>
      <w:bookmarkStart w:id="207" w:name="_Toc131433343"/>
    </w:p>
    <w:bookmarkEnd w:id="205"/>
    <w:bookmarkEnd w:id="206"/>
    <w:bookmarkEnd w:id="207"/>
    <w:p w14:paraId="4F0BE8A3">
      <w:pPr>
        <w:pStyle w:val="63"/>
        <w:rPr>
          <w:color w:val="auto"/>
          <w:highlight w:val="none"/>
        </w:rPr>
      </w:pPr>
      <w:bookmarkStart w:id="208" w:name="_Toc131433180"/>
      <w:bookmarkStart w:id="209" w:name="_Toc184639395"/>
      <w:bookmarkStart w:id="210" w:name="_Toc3300"/>
      <w:bookmarkStart w:id="211" w:name="_Toc131433346"/>
      <w:r>
        <w:rPr>
          <w:color w:val="auto"/>
          <w:highlight w:val="none"/>
        </w:rPr>
        <w:t>第</w:t>
      </w:r>
      <w:r>
        <w:rPr>
          <w:rFonts w:hint="eastAsia"/>
          <w:color w:val="auto"/>
          <w:highlight w:val="none"/>
        </w:rPr>
        <w:t>七</w:t>
      </w:r>
      <w:r>
        <w:rPr>
          <w:color w:val="auto"/>
          <w:highlight w:val="none"/>
        </w:rPr>
        <w:t>章 保护利用自然和文化遗产，彰显特色魅力</w:t>
      </w:r>
      <w:bookmarkEnd w:id="208"/>
      <w:bookmarkEnd w:id="209"/>
      <w:bookmarkEnd w:id="210"/>
      <w:bookmarkEnd w:id="211"/>
    </w:p>
    <w:p w14:paraId="16E8A456">
      <w:pPr>
        <w:pStyle w:val="5"/>
        <w:rPr>
          <w:rFonts w:eastAsia="方正黑体简体"/>
          <w:color w:val="auto"/>
          <w:highlight w:val="none"/>
        </w:rPr>
      </w:pPr>
      <w:bookmarkStart w:id="212" w:name="_Toc131433181"/>
      <w:bookmarkStart w:id="213" w:name="_Toc184639396"/>
      <w:bookmarkStart w:id="214" w:name="_Toc131433347"/>
      <w:bookmarkStart w:id="215" w:name="_Toc25623"/>
      <w:r>
        <w:rPr>
          <w:color w:val="auto"/>
          <w:highlight w:val="none"/>
        </w:rPr>
        <w:t>第一节</w:t>
      </w:r>
      <w:r>
        <w:rPr>
          <w:rFonts w:hint="eastAsia"/>
          <w:color w:val="auto"/>
          <w:highlight w:val="none"/>
        </w:rPr>
        <w:t xml:space="preserve"> 建立自然和历史文化遗产保护体系</w:t>
      </w:r>
      <w:bookmarkEnd w:id="212"/>
      <w:bookmarkEnd w:id="213"/>
      <w:bookmarkEnd w:id="214"/>
      <w:bookmarkEnd w:id="215"/>
    </w:p>
    <w:p w14:paraId="75F53907">
      <w:pPr>
        <w:ind w:firstLine="600"/>
        <w:rPr>
          <w:rFonts w:eastAsia="方正仿宋_GBK"/>
          <w:color w:val="auto"/>
          <w:sz w:val="30"/>
          <w:szCs w:val="30"/>
          <w:highlight w:val="none"/>
        </w:rPr>
      </w:pPr>
      <w:r>
        <w:rPr>
          <w:rFonts w:hint="eastAsia" w:eastAsia="方正仿宋_GBK"/>
          <w:color w:val="auto"/>
          <w:sz w:val="30"/>
          <w:szCs w:val="30"/>
          <w:highlight w:val="none"/>
        </w:rPr>
        <w:t>保护自然和历史文化遗产，</w:t>
      </w:r>
      <w:r>
        <w:rPr>
          <w:rFonts w:hint="eastAsia" w:eastAsia="方正仿宋_GBK"/>
          <w:color w:val="auto"/>
          <w:sz w:val="30"/>
          <w:szCs w:val="30"/>
          <w:highlight w:val="none"/>
          <w:u w:val="none"/>
        </w:rPr>
        <w:t>构建以黑井镇、光禄镇等国家级、省级历史文化名镇名村，元谋人遗址、腊玛古猿化石产地等国家级、省级以上文物古迹为主体的历史文化保护体系。</w:t>
      </w:r>
    </w:p>
    <w:p w14:paraId="5B99ADD0">
      <w:pPr>
        <w:pStyle w:val="6"/>
        <w:rPr>
          <w:color w:val="auto"/>
          <w:highlight w:val="none"/>
        </w:rPr>
      </w:pPr>
      <w:r>
        <w:rPr>
          <w:rFonts w:hint="eastAsia"/>
          <w:color w:val="auto"/>
          <w:highlight w:val="none"/>
        </w:rPr>
        <w:t>一</w:t>
      </w:r>
      <w:r>
        <w:rPr>
          <w:color w:val="auto"/>
          <w:highlight w:val="none"/>
        </w:rPr>
        <w:t>、</w:t>
      </w:r>
      <w:r>
        <w:rPr>
          <w:rFonts w:hint="eastAsia"/>
          <w:color w:val="auto"/>
          <w:highlight w:val="none"/>
        </w:rPr>
        <w:t>识别</w:t>
      </w:r>
      <w:r>
        <w:rPr>
          <w:color w:val="auto"/>
          <w:highlight w:val="none"/>
        </w:rPr>
        <w:t>自然和文化遗产</w:t>
      </w:r>
      <w:r>
        <w:rPr>
          <w:rFonts w:hint="eastAsia"/>
          <w:color w:val="auto"/>
          <w:highlight w:val="none"/>
        </w:rPr>
        <w:t>空间</w:t>
      </w:r>
    </w:p>
    <w:p w14:paraId="31ADF089">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（一）保护自然遗产</w:t>
      </w:r>
    </w:p>
    <w:p w14:paraId="78F187CA">
      <w:pPr>
        <w:ind w:firstLine="600"/>
        <w:rPr>
          <w:color w:val="auto"/>
          <w:sz w:val="30"/>
          <w:szCs w:val="30"/>
          <w:highlight w:val="none"/>
        </w:rPr>
      </w:pPr>
      <w:r>
        <w:rPr>
          <w:rFonts w:hint="eastAsia" w:ascii="方正楷体_GBK" w:eastAsia="方正楷体_GBK"/>
          <w:color w:val="auto"/>
          <w:sz w:val="30"/>
          <w:szCs w:val="30"/>
          <w:highlight w:val="none"/>
        </w:rPr>
        <w:t>加强自然遗产保护，分类制定保护措施。</w:t>
      </w:r>
      <w:r>
        <w:rPr>
          <w:rFonts w:hint="eastAsia" w:eastAsia="方正仿宋_GBK"/>
          <w:color w:val="auto"/>
          <w:sz w:val="30"/>
          <w:szCs w:val="30"/>
          <w:highlight w:val="none"/>
        </w:rPr>
        <w:t>重点保护南部哀牢山山脉，金沙江、龙川江、礼社江、绿汁江、马龙河、蜻蛉河等自然水系，保护云南哀牢山国家级自然保护区、云南永仁金沙江国家级森林公园、云南禄丰恐龙国家级地质自然公园，保护大姚百草岭、双柏白竹山、武定狮子山等12个地方级自然公园、自然保护区及风景名胜区，保护禄丰中山天坑、元谋土林、武定己衣大裂谷等自然地质景点，保护古树名木、古树后备资源等各类自然遗产。</w:t>
      </w:r>
    </w:p>
    <w:p w14:paraId="64F35049">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（二）保护历史文化遗产</w:t>
      </w:r>
    </w:p>
    <w:p w14:paraId="655BDCC1">
      <w:pPr>
        <w:ind w:firstLine="600"/>
        <w:rPr>
          <w:color w:val="auto"/>
          <w:sz w:val="30"/>
          <w:szCs w:val="30"/>
          <w:highlight w:val="none"/>
        </w:rPr>
      </w:pPr>
      <w:r>
        <w:rPr>
          <w:rFonts w:hint="eastAsia" w:ascii="方正楷体_GBK" w:eastAsia="方正楷体_GBK"/>
          <w:color w:val="auto"/>
          <w:sz w:val="30"/>
          <w:szCs w:val="30"/>
          <w:highlight w:val="none"/>
        </w:rPr>
        <w:t>保护历史</w:t>
      </w:r>
      <w:bookmarkStart w:id="216" w:name="_Hlk155362938"/>
      <w:r>
        <w:rPr>
          <w:rFonts w:ascii="方正楷体_GBK" w:eastAsia="方正楷体_GBK"/>
          <w:color w:val="auto"/>
          <w:sz w:val="30"/>
          <w:szCs w:val="30"/>
          <w:highlight w:val="none"/>
        </w:rPr>
        <w:t>文化</w:t>
      </w:r>
      <w:r>
        <w:rPr>
          <w:rFonts w:hint="eastAsia" w:ascii="方正楷体_GBK" w:eastAsia="方正楷体_GBK"/>
          <w:color w:val="auto"/>
          <w:sz w:val="30"/>
          <w:szCs w:val="30"/>
          <w:highlight w:val="none"/>
        </w:rPr>
        <w:t>名镇</w:t>
      </w:r>
      <w:r>
        <w:rPr>
          <w:rFonts w:ascii="方正楷体_GBK" w:eastAsia="方正楷体_GBK"/>
          <w:color w:val="auto"/>
          <w:sz w:val="30"/>
          <w:szCs w:val="30"/>
          <w:highlight w:val="none"/>
        </w:rPr>
        <w:t>、名村及传统村落</w:t>
      </w:r>
      <w:bookmarkEnd w:id="216"/>
      <w:r>
        <w:rPr>
          <w:rFonts w:ascii="方正楷体_GBK" w:eastAsia="方正楷体_GBK"/>
          <w:color w:val="auto"/>
          <w:sz w:val="30"/>
          <w:szCs w:val="30"/>
          <w:highlight w:val="none"/>
        </w:rPr>
        <w:t>。</w:t>
      </w:r>
      <w:r>
        <w:rPr>
          <w:rFonts w:hint="eastAsia" w:eastAsia="方正仿宋_GBK"/>
          <w:color w:val="auto"/>
          <w:sz w:val="30"/>
          <w:szCs w:val="30"/>
          <w:highlight w:val="none"/>
        </w:rPr>
        <w:t>加强</w:t>
      </w:r>
      <w:r>
        <w:rPr>
          <w:rFonts w:eastAsia="方正仿宋_GBK"/>
          <w:color w:val="auto"/>
          <w:sz w:val="30"/>
          <w:szCs w:val="30"/>
          <w:highlight w:val="none"/>
        </w:rPr>
        <w:t>禄丰市黑井国家级历史文化名镇</w:t>
      </w:r>
      <w:r>
        <w:rPr>
          <w:rFonts w:hint="eastAsia" w:eastAsia="方正仿宋_GBK"/>
          <w:color w:val="auto"/>
          <w:sz w:val="30"/>
          <w:szCs w:val="30"/>
          <w:highlight w:val="none"/>
        </w:rPr>
        <w:t>、</w:t>
      </w:r>
      <w:r>
        <w:rPr>
          <w:rFonts w:eastAsia="方正仿宋_GBK"/>
          <w:color w:val="auto"/>
          <w:sz w:val="30"/>
          <w:szCs w:val="30"/>
          <w:highlight w:val="none"/>
        </w:rPr>
        <w:t>姚安县光禄国家级历史文化名镇</w:t>
      </w:r>
      <w:r>
        <w:rPr>
          <w:rFonts w:hint="eastAsia" w:eastAsia="方正仿宋_GBK"/>
          <w:color w:val="auto"/>
          <w:sz w:val="30"/>
          <w:szCs w:val="30"/>
          <w:highlight w:val="none"/>
        </w:rPr>
        <w:t>、</w:t>
      </w:r>
      <w:r>
        <w:rPr>
          <w:rFonts w:eastAsia="方正仿宋_GBK"/>
          <w:color w:val="auto"/>
          <w:sz w:val="30"/>
          <w:szCs w:val="30"/>
          <w:highlight w:val="none"/>
        </w:rPr>
        <w:t>大姚县石羊省级历史文化名镇</w:t>
      </w:r>
      <w:r>
        <w:rPr>
          <w:rFonts w:hint="eastAsia" w:eastAsia="方正仿宋_GBK"/>
          <w:color w:val="auto"/>
          <w:sz w:val="30"/>
          <w:szCs w:val="30"/>
          <w:highlight w:val="none"/>
        </w:rPr>
        <w:t>保护</w:t>
      </w:r>
      <w:r>
        <w:rPr>
          <w:rFonts w:eastAsia="方正仿宋_GBK"/>
          <w:color w:val="auto"/>
          <w:sz w:val="30"/>
          <w:szCs w:val="30"/>
          <w:highlight w:val="none"/>
        </w:rPr>
        <w:t>与管控</w:t>
      </w:r>
      <w:r>
        <w:rPr>
          <w:rFonts w:hint="eastAsia" w:eastAsia="方正仿宋_GBK"/>
          <w:color w:val="auto"/>
          <w:sz w:val="30"/>
          <w:szCs w:val="30"/>
          <w:highlight w:val="none"/>
        </w:rPr>
        <w:t>，注重历史人文和自然生态的整体保护，保护城镇的传统选址布局、街巷院落肌理、传统空间尺度和界面等，延续传统风貌特色，完善基础设施和公共服务设施，统筹安排土地利用布局，探索多元化的保护发展路径。推进</w:t>
      </w:r>
      <w:r>
        <w:rPr>
          <w:rFonts w:eastAsia="方正仿宋_GBK"/>
          <w:color w:val="auto"/>
          <w:sz w:val="30"/>
          <w:szCs w:val="30"/>
          <w:highlight w:val="none"/>
        </w:rPr>
        <w:t>禄丰市金山镇炼象关省级历史文化名村、禄丰市妥安乡琅井村省级历史文化名村</w:t>
      </w:r>
      <w:r>
        <w:rPr>
          <w:rFonts w:hint="eastAsia" w:eastAsia="方正仿宋_GBK"/>
          <w:color w:val="auto"/>
          <w:sz w:val="30"/>
          <w:szCs w:val="30"/>
          <w:highlight w:val="none"/>
        </w:rPr>
        <w:t>、双柏县大庄镇大庄社区历史文化名村以及28</w:t>
      </w:r>
      <w:r>
        <w:rPr>
          <w:rFonts w:eastAsia="方正仿宋_GBK"/>
          <w:color w:val="auto"/>
          <w:sz w:val="30"/>
          <w:szCs w:val="30"/>
          <w:highlight w:val="none"/>
        </w:rPr>
        <w:t>个中国传统村落</w:t>
      </w:r>
      <w:r>
        <w:rPr>
          <w:rFonts w:hint="eastAsia" w:eastAsia="方正仿宋_GBK"/>
          <w:color w:val="auto"/>
          <w:sz w:val="30"/>
          <w:szCs w:val="30"/>
          <w:highlight w:val="none"/>
        </w:rPr>
        <w:t>保护</w:t>
      </w:r>
      <w:r>
        <w:rPr>
          <w:rFonts w:eastAsia="方正仿宋_GBK"/>
          <w:color w:val="auto"/>
          <w:sz w:val="30"/>
          <w:szCs w:val="30"/>
          <w:highlight w:val="none"/>
        </w:rPr>
        <w:t>与管控</w:t>
      </w:r>
      <w:r>
        <w:rPr>
          <w:rFonts w:hint="eastAsia" w:eastAsia="方正仿宋_GBK"/>
          <w:color w:val="auto"/>
          <w:sz w:val="30"/>
          <w:szCs w:val="30"/>
          <w:highlight w:val="none"/>
        </w:rPr>
        <w:t>，强调活态保护，注重村落历史人文和自然生态的整体保护，保护田园风光，传承传统营建智慧，延续村落传统选址布局、院落肌理、传统空间尺度和界面。</w:t>
      </w:r>
    </w:p>
    <w:p w14:paraId="1030C8F5">
      <w:pPr>
        <w:ind w:firstLine="600"/>
        <w:rPr>
          <w:color w:val="auto"/>
          <w:sz w:val="30"/>
          <w:szCs w:val="30"/>
          <w:highlight w:val="none"/>
        </w:rPr>
      </w:pPr>
      <w:r>
        <w:rPr>
          <w:rFonts w:hint="eastAsia" w:ascii="方正楷体_GBK" w:eastAsia="方正楷体_GBK"/>
          <w:color w:val="auto"/>
          <w:sz w:val="30"/>
          <w:szCs w:val="30"/>
          <w:highlight w:val="none"/>
        </w:rPr>
        <w:t>保护文物</w:t>
      </w:r>
      <w:r>
        <w:rPr>
          <w:rFonts w:ascii="方正楷体_GBK" w:eastAsia="方正楷体_GBK"/>
          <w:color w:val="auto"/>
          <w:sz w:val="30"/>
          <w:szCs w:val="30"/>
          <w:highlight w:val="none"/>
        </w:rPr>
        <w:t>古迹。</w:t>
      </w:r>
      <w:r>
        <w:rPr>
          <w:rFonts w:hint="eastAsia" w:eastAsia="方正仿宋_GBK"/>
          <w:color w:val="auto"/>
          <w:sz w:val="30"/>
          <w:szCs w:val="30"/>
          <w:highlight w:val="none"/>
        </w:rPr>
        <w:t>保护</w:t>
      </w:r>
      <w:r>
        <w:rPr>
          <w:rFonts w:eastAsia="方正仿宋_GBK"/>
          <w:color w:val="auto"/>
          <w:sz w:val="30"/>
          <w:szCs w:val="30"/>
          <w:highlight w:val="none"/>
        </w:rPr>
        <w:t>全州不可移动文物</w:t>
      </w:r>
      <w:r>
        <w:rPr>
          <w:rFonts w:hint="eastAsia" w:eastAsia="方正仿宋_GBK"/>
          <w:color w:val="auto"/>
          <w:sz w:val="30"/>
          <w:szCs w:val="30"/>
          <w:highlight w:val="none"/>
        </w:rPr>
        <w:t>，保护长江、长征国家文化公园（楚雄段）重要历史文物，持续开展革命文物、工业遗产、农业遗产等重要史迹及代表性建筑保护、普查和申报，推进合理适度利用，创新保护利用方法。保护</w:t>
      </w:r>
      <w:r>
        <w:rPr>
          <w:rFonts w:eastAsia="方正仿宋_GBK"/>
          <w:color w:val="auto"/>
          <w:sz w:val="30"/>
          <w:szCs w:val="30"/>
          <w:highlight w:val="none"/>
        </w:rPr>
        <w:t>非物质文化遗产保护，各级代表性传承人</w:t>
      </w:r>
      <w:r>
        <w:rPr>
          <w:rFonts w:hint="eastAsia" w:eastAsia="方正仿宋_GBK"/>
          <w:color w:val="auto"/>
          <w:sz w:val="30"/>
          <w:szCs w:val="30"/>
          <w:highlight w:val="none"/>
        </w:rPr>
        <w:t>，</w:t>
      </w:r>
      <w:r>
        <w:rPr>
          <w:rFonts w:eastAsia="方正仿宋_GBK"/>
          <w:color w:val="auto"/>
          <w:sz w:val="30"/>
          <w:szCs w:val="30"/>
          <w:highlight w:val="none"/>
        </w:rPr>
        <w:t>省级民族传统文化生态保护区</w:t>
      </w:r>
      <w:r>
        <w:rPr>
          <w:rFonts w:hint="eastAsia" w:eastAsia="方正仿宋_GBK"/>
          <w:color w:val="auto"/>
          <w:sz w:val="30"/>
          <w:szCs w:val="30"/>
          <w:highlight w:val="none"/>
        </w:rPr>
        <w:t>，完善非物质文化遗产保护传承机制，为传统戏曲、传统手工艺等非遗提供活动生产与表演展示的场所空间。</w:t>
      </w:r>
    </w:p>
    <w:p w14:paraId="3A9A279C">
      <w:pPr>
        <w:pStyle w:val="6"/>
        <w:rPr>
          <w:color w:val="auto"/>
          <w:highlight w:val="none"/>
        </w:rPr>
      </w:pPr>
      <w:r>
        <w:rPr>
          <w:rFonts w:hint="eastAsia"/>
          <w:color w:val="auto"/>
          <w:highlight w:val="none"/>
        </w:rPr>
        <w:t>二</w:t>
      </w:r>
      <w:r>
        <w:rPr>
          <w:color w:val="auto"/>
          <w:highlight w:val="none"/>
        </w:rPr>
        <w:t>、</w:t>
      </w:r>
      <w:r>
        <w:rPr>
          <w:rFonts w:hint="eastAsia"/>
          <w:color w:val="auto"/>
          <w:highlight w:val="none"/>
        </w:rPr>
        <w:t>健全自然和文化遗产保护空间政策机制</w:t>
      </w:r>
    </w:p>
    <w:p w14:paraId="46EE65E3">
      <w:pPr>
        <w:ind w:firstLine="600"/>
        <w:rPr>
          <w:rFonts w:eastAsia="方正仿宋_GBK"/>
          <w:color w:val="auto"/>
          <w:sz w:val="30"/>
          <w:szCs w:val="30"/>
          <w:highlight w:val="none"/>
        </w:rPr>
      </w:pPr>
      <w:r>
        <w:rPr>
          <w:rFonts w:eastAsia="方正仿宋_GBK"/>
          <w:color w:val="auto"/>
          <w:sz w:val="30"/>
          <w:szCs w:val="30"/>
          <w:highlight w:val="none"/>
        </w:rPr>
        <w:t>坚持与生态保护相结合，针对不同类型自然遗产采取差异化的空间保护措施，保持自然遗产景观价值和景观品质。强化文物资源系统保护的空间管控，划定历史文化保护线，并纳入国土空间规划“一张图”实施监督系统。完善历史文化遗存本体及其环境的用地和空间管控政策。对需依法保护的历史文化遗存，开发建设前应开展建设影响评估。对历史文化保护线内可能存在历史文化遗存的土地，实行“先考古、后出让”制度，建立多部门协调机制，增强工作联动。</w:t>
      </w:r>
    </w:p>
    <w:p w14:paraId="42C7839D">
      <w:pPr>
        <w:pStyle w:val="6"/>
        <w:rPr>
          <w:color w:val="auto"/>
          <w:highlight w:val="none"/>
        </w:rPr>
      </w:pPr>
      <w:r>
        <w:rPr>
          <w:rFonts w:hint="eastAsia"/>
          <w:color w:val="auto"/>
          <w:highlight w:val="none"/>
        </w:rPr>
        <w:t>三</w:t>
      </w:r>
      <w:r>
        <w:rPr>
          <w:color w:val="auto"/>
          <w:highlight w:val="none"/>
        </w:rPr>
        <w:t>、</w:t>
      </w:r>
      <w:r>
        <w:rPr>
          <w:rFonts w:hint="eastAsia"/>
          <w:color w:val="auto"/>
          <w:highlight w:val="none"/>
        </w:rPr>
        <w:t>统筹划定历史文化保护线</w:t>
      </w:r>
    </w:p>
    <w:p w14:paraId="7B11092E">
      <w:pPr>
        <w:ind w:firstLine="600"/>
        <w:rPr>
          <w:rFonts w:eastAsia="方正仿宋_GBK"/>
          <w:color w:val="auto"/>
          <w:sz w:val="30"/>
          <w:szCs w:val="30"/>
          <w:highlight w:val="none"/>
        </w:rPr>
      </w:pPr>
      <w:r>
        <w:rPr>
          <w:rFonts w:hint="eastAsia" w:eastAsia="方正仿宋_GBK"/>
          <w:color w:val="auto"/>
          <w:sz w:val="30"/>
          <w:szCs w:val="30"/>
          <w:highlight w:val="none"/>
        </w:rPr>
        <w:t>强化文物资源系统保护的空间管控，落实各类历史文化保护线保护范围和管控要求，在市县、乡镇国土空间规划和详细规划中统筹划定各级文物保护单位保护范围和建设控制地带、地下文物埋藏区，明确不可移动文物保护空间管制的规划要求，并纳入国土空间规划“一张图”实施监督系统，作为实施用途管制和规划许可的重要依据。发掘不可移动文物资源的多重价值，保障文物保护、利用、考古等合理空间需求。完善历史文化遗存本体及其环境的用地和空间管控政策。</w:t>
      </w:r>
    </w:p>
    <w:p w14:paraId="579A202C">
      <w:pPr>
        <w:pStyle w:val="5"/>
        <w:rPr>
          <w:rFonts w:eastAsia="方正黑体简体"/>
          <w:color w:val="auto"/>
          <w:highlight w:val="none"/>
        </w:rPr>
      </w:pPr>
      <w:bookmarkStart w:id="217" w:name="_Toc184639397"/>
      <w:r>
        <w:rPr>
          <w:color w:val="auto"/>
          <w:highlight w:val="none"/>
        </w:rPr>
        <w:t>第二节</w:t>
      </w:r>
      <w:r>
        <w:rPr>
          <w:rFonts w:hint="eastAsia"/>
          <w:color w:val="auto"/>
          <w:highlight w:val="none"/>
        </w:rPr>
        <w:t xml:space="preserve"> 构建“一心两带两区”的魅力空间格局</w:t>
      </w:r>
      <w:bookmarkEnd w:id="217"/>
    </w:p>
    <w:p w14:paraId="4ED11891">
      <w:pPr>
        <w:ind w:firstLine="600"/>
        <w:rPr>
          <w:rFonts w:eastAsia="方正仿宋_GBK"/>
          <w:color w:val="auto"/>
          <w:sz w:val="30"/>
          <w:szCs w:val="30"/>
          <w:highlight w:val="none"/>
        </w:rPr>
      </w:pPr>
      <w:r>
        <w:rPr>
          <w:rFonts w:eastAsia="方正仿宋_GBK"/>
          <w:color w:val="auto"/>
          <w:sz w:val="30"/>
          <w:szCs w:val="30"/>
          <w:highlight w:val="none"/>
        </w:rPr>
        <w:t>遵循楚雄州自然地理环境的地域特征，梳理自然景观资源、民族文化资源、历史文化资源的空间分布和重要价值区，整合州域空间特色的重要区域，构建“一心两带两区”的魅力空间，彰显楚雄州独特的空间魅力。</w:t>
      </w:r>
    </w:p>
    <w:p w14:paraId="46A851AF">
      <w:pPr>
        <w:ind w:firstLine="600"/>
        <w:rPr>
          <w:rFonts w:eastAsia="方正仿宋_GBK"/>
          <w:color w:val="auto"/>
          <w:sz w:val="30"/>
          <w:szCs w:val="30"/>
          <w:highlight w:val="none"/>
        </w:rPr>
      </w:pPr>
      <w:r>
        <w:rPr>
          <w:rFonts w:ascii="方正楷体_GBK" w:eastAsia="方正楷体_GBK"/>
          <w:color w:val="auto"/>
          <w:sz w:val="30"/>
          <w:szCs w:val="30"/>
          <w:highlight w:val="none"/>
        </w:rPr>
        <w:t>楚雄特色城市魅力中心。</w:t>
      </w:r>
      <w:r>
        <w:rPr>
          <w:rFonts w:eastAsia="方正仿宋_GBK"/>
          <w:color w:val="auto"/>
          <w:sz w:val="30"/>
          <w:szCs w:val="30"/>
          <w:highlight w:val="none"/>
        </w:rPr>
        <w:t>引领楚雄州城市建设，彰显展示楚雄州特色风情的魅力中心。以民族文化大观园为特色，维护自然山水格局，促进文化和体验融合。集中展示绿色生态之貌、民族人文魅力、充满健康活力的现代城市风貌，围绕“康养胜境、宜居楚雄”，支持楚雄彝族文化康养旅游度假区建设。</w:t>
      </w:r>
    </w:p>
    <w:p w14:paraId="42528CB4">
      <w:pPr>
        <w:ind w:firstLine="600"/>
        <w:rPr>
          <w:rFonts w:eastAsia="方正仿宋_GBK"/>
          <w:color w:val="auto"/>
          <w:sz w:val="30"/>
          <w:szCs w:val="30"/>
          <w:highlight w:val="none"/>
        </w:rPr>
      </w:pPr>
      <w:r>
        <w:rPr>
          <w:rFonts w:ascii="方正楷体_GBK" w:eastAsia="方正楷体_GBK"/>
          <w:color w:val="auto"/>
          <w:sz w:val="30"/>
          <w:szCs w:val="30"/>
          <w:highlight w:val="none"/>
        </w:rPr>
        <w:t>金沙江峡谷风光魅力带。</w:t>
      </w:r>
      <w:r>
        <w:rPr>
          <w:rFonts w:hint="eastAsia" w:eastAsia="方正仿宋_GBK"/>
          <w:color w:val="auto"/>
          <w:sz w:val="30"/>
          <w:szCs w:val="30"/>
          <w:highlight w:val="none"/>
        </w:rPr>
        <w:t>位于楚雄州北部，以金沙江沿江河谷为主，串联大姚、永仁、元谋、武定四县，彰显金沙江高峡平湖风光与大江峡谷奇景、磅礴乌蒙山脉、绚丽红土地特色风光。重点维育云南永仁金沙江国家级森林公园，挖掘红色文化资源，推进长江、长征国家文化公园和红色文化基地建设</w:t>
      </w:r>
      <w:r>
        <w:rPr>
          <w:rFonts w:eastAsia="方正仿宋_GBK"/>
          <w:color w:val="auto"/>
          <w:sz w:val="30"/>
          <w:szCs w:val="30"/>
          <w:highlight w:val="none"/>
        </w:rPr>
        <w:t>。</w:t>
      </w:r>
    </w:p>
    <w:p w14:paraId="73EC9EF8">
      <w:pPr>
        <w:ind w:firstLine="600"/>
        <w:rPr>
          <w:color w:val="auto"/>
          <w:sz w:val="30"/>
          <w:szCs w:val="30"/>
          <w:highlight w:val="none"/>
        </w:rPr>
      </w:pPr>
      <w:r>
        <w:rPr>
          <w:rFonts w:ascii="方正楷体_GBK" w:eastAsia="方正楷体_GBK"/>
          <w:color w:val="auto"/>
          <w:sz w:val="30"/>
          <w:szCs w:val="30"/>
          <w:highlight w:val="none"/>
        </w:rPr>
        <w:t>哀牢山森林秘境魅力带。</w:t>
      </w:r>
      <w:r>
        <w:rPr>
          <w:rFonts w:hint="eastAsia" w:eastAsia="方正仿宋_GBK"/>
          <w:color w:val="auto"/>
          <w:sz w:val="30"/>
          <w:szCs w:val="30"/>
          <w:highlight w:val="none"/>
        </w:rPr>
        <w:t>位于楚雄州南部，以哀牢山山脉和元江水系上游礼社江沿江河谷为主，串联南华、楚雄南部山区和双柏三县，彰显哀牢山森林秘境和秀丽风光奇景。重点维育云南哀牢山国家级自然保护区、云南禄丰恐龙国家级地质自然公园，保护南华大中山候鸟迁徙通道、双柏绿孔雀之乡等生物多样性区域，支持创建哀牢山国家公园，支持哀牢山楚雄文旅产业园建设。</w:t>
      </w:r>
    </w:p>
    <w:p w14:paraId="579B782B">
      <w:pPr>
        <w:ind w:firstLine="600"/>
        <w:rPr>
          <w:rFonts w:eastAsia="方正仿宋_GBK"/>
          <w:color w:val="auto"/>
          <w:sz w:val="30"/>
          <w:szCs w:val="30"/>
          <w:highlight w:val="none"/>
        </w:rPr>
      </w:pPr>
      <w:r>
        <w:rPr>
          <w:rFonts w:ascii="方正楷体_GBK" w:eastAsia="方正楷体_GBK"/>
          <w:color w:val="auto"/>
          <w:sz w:val="30"/>
          <w:szCs w:val="30"/>
          <w:highlight w:val="none"/>
        </w:rPr>
        <w:t>历史人文魅力区。</w:t>
      </w:r>
      <w:r>
        <w:rPr>
          <w:rFonts w:hint="eastAsia" w:eastAsia="方正仿宋_GBK"/>
          <w:color w:val="auto"/>
          <w:sz w:val="30"/>
          <w:szCs w:val="30"/>
          <w:highlight w:val="none"/>
        </w:rPr>
        <w:t>位于楚雄州中部，以禄丰黑井、姚安光禄国家级历史文化名镇，大姚石羊省级历史文化名镇为中心，历史文化名村、中国传统村落和文物保护单位富集区为支撑，彰显展示楚雄州多元历史、民族文化的魅力空间。重点保护传承历史文化名镇名村、传统村落的历史人文、民族风情和非物质文化遗产，支持滇缅公路文化廊道建设</w:t>
      </w:r>
      <w:r>
        <w:rPr>
          <w:rFonts w:eastAsia="方正仿宋_GBK"/>
          <w:color w:val="auto"/>
          <w:sz w:val="30"/>
          <w:szCs w:val="30"/>
          <w:highlight w:val="none"/>
        </w:rPr>
        <w:t>。</w:t>
      </w:r>
    </w:p>
    <w:p w14:paraId="025DEF01">
      <w:pPr>
        <w:ind w:firstLine="600"/>
        <w:rPr>
          <w:rFonts w:eastAsia="方正仿宋_GBK"/>
          <w:color w:val="auto"/>
          <w:sz w:val="30"/>
          <w:szCs w:val="30"/>
          <w:highlight w:val="none"/>
        </w:rPr>
      </w:pPr>
      <w:r>
        <w:rPr>
          <w:rFonts w:ascii="方正楷体_GBK" w:eastAsia="方正楷体_GBK"/>
          <w:color w:val="auto"/>
          <w:sz w:val="30"/>
          <w:szCs w:val="30"/>
          <w:highlight w:val="none"/>
        </w:rPr>
        <w:t>生命起源魅力区。</w:t>
      </w:r>
      <w:r>
        <w:rPr>
          <w:rFonts w:hint="eastAsia" w:eastAsia="方正仿宋_GBK"/>
          <w:color w:val="auto"/>
          <w:sz w:val="30"/>
          <w:szCs w:val="30"/>
          <w:highlight w:val="none"/>
        </w:rPr>
        <w:t>以禄丰、元谋为中心，围绕“世界恐龙之乡、东方人类故乡”世界级名片，彰显展示生命演化的脉络、探索人类文明发展的独特魅力空间。在强化资源保护的基础上，发展研学旅游、文化娱乐、休闲度假等旅游业态，支持侏罗纪文化旅游产业园、元谋人遗址公园建设。</w:t>
      </w:r>
    </w:p>
    <w:p w14:paraId="68A6A39F">
      <w:pPr>
        <w:pStyle w:val="5"/>
        <w:rPr>
          <w:color w:val="auto"/>
          <w:highlight w:val="none"/>
        </w:rPr>
      </w:pPr>
      <w:bookmarkStart w:id="218" w:name="_Toc184639398"/>
      <w:r>
        <w:rPr>
          <w:color w:val="auto"/>
          <w:highlight w:val="none"/>
        </w:rPr>
        <w:t>第</w:t>
      </w:r>
      <w:r>
        <w:rPr>
          <w:rFonts w:hint="eastAsia"/>
          <w:color w:val="auto"/>
          <w:highlight w:val="none"/>
        </w:rPr>
        <w:t>三</w:t>
      </w:r>
      <w:r>
        <w:rPr>
          <w:color w:val="auto"/>
          <w:highlight w:val="none"/>
        </w:rPr>
        <w:t>节</w:t>
      </w:r>
      <w:r>
        <w:rPr>
          <w:rFonts w:hint="eastAsia"/>
          <w:color w:val="auto"/>
          <w:highlight w:val="none"/>
        </w:rPr>
        <w:t xml:space="preserve"> </w:t>
      </w:r>
      <w:r>
        <w:rPr>
          <w:color w:val="auto"/>
          <w:highlight w:val="none"/>
        </w:rPr>
        <w:t>系统活化利用自然和</w:t>
      </w:r>
      <w:r>
        <w:rPr>
          <w:rFonts w:hint="eastAsia"/>
          <w:color w:val="auto"/>
          <w:highlight w:val="none"/>
        </w:rPr>
        <w:t>历史</w:t>
      </w:r>
      <w:r>
        <w:rPr>
          <w:color w:val="auto"/>
          <w:highlight w:val="none"/>
        </w:rPr>
        <w:t>文化遗产</w:t>
      </w:r>
      <w:bookmarkEnd w:id="218"/>
    </w:p>
    <w:p w14:paraId="5BDFF5AF">
      <w:pPr>
        <w:pStyle w:val="6"/>
        <w:rPr>
          <w:color w:val="auto"/>
          <w:highlight w:val="none"/>
        </w:rPr>
      </w:pPr>
      <w:r>
        <w:rPr>
          <w:rFonts w:hint="eastAsia"/>
          <w:color w:val="auto"/>
          <w:highlight w:val="none"/>
        </w:rPr>
        <w:t>一、</w:t>
      </w:r>
      <w:r>
        <w:rPr>
          <w:color w:val="auto"/>
          <w:highlight w:val="none"/>
        </w:rPr>
        <w:t>促进</w:t>
      </w:r>
      <w:r>
        <w:rPr>
          <w:rFonts w:hint="eastAsia"/>
          <w:color w:val="auto"/>
          <w:highlight w:val="none"/>
        </w:rPr>
        <w:t>“</w:t>
      </w:r>
      <w:r>
        <w:rPr>
          <w:color w:val="auto"/>
          <w:highlight w:val="none"/>
        </w:rPr>
        <w:t>一个中心、四大走廊</w:t>
      </w:r>
      <w:r>
        <w:rPr>
          <w:rFonts w:hint="eastAsia"/>
          <w:color w:val="auto"/>
          <w:highlight w:val="none"/>
        </w:rPr>
        <w:t>”</w:t>
      </w:r>
      <w:r>
        <w:rPr>
          <w:color w:val="auto"/>
          <w:highlight w:val="none"/>
        </w:rPr>
        <w:t>全域旅游建设</w:t>
      </w:r>
    </w:p>
    <w:p w14:paraId="39E13322">
      <w:pPr>
        <w:ind w:firstLine="600"/>
        <w:rPr>
          <w:color w:val="auto"/>
          <w:sz w:val="30"/>
          <w:szCs w:val="30"/>
          <w:highlight w:val="none"/>
        </w:rPr>
      </w:pPr>
      <w:r>
        <w:rPr>
          <w:rFonts w:eastAsia="方正仿宋_GBK"/>
          <w:color w:val="auto"/>
          <w:sz w:val="30"/>
          <w:szCs w:val="30"/>
          <w:highlight w:val="none"/>
        </w:rPr>
        <w:t>围绕楚雄州自然山水和历史文化魅力空间，高质量建设“一</w:t>
      </w:r>
      <w:r>
        <w:rPr>
          <w:rFonts w:hint="eastAsia" w:eastAsia="方正仿宋_GBK"/>
          <w:color w:val="auto"/>
          <w:sz w:val="30"/>
          <w:szCs w:val="30"/>
          <w:highlight w:val="none"/>
        </w:rPr>
        <w:t>个</w:t>
      </w:r>
      <w:r>
        <w:rPr>
          <w:rFonts w:eastAsia="方正仿宋_GBK"/>
          <w:color w:val="auto"/>
          <w:sz w:val="30"/>
          <w:szCs w:val="30"/>
          <w:highlight w:val="none"/>
        </w:rPr>
        <w:t>中心、四大走廊”旅游新格局。擦亮“世界恐龙之乡、东方人类故乡、世界野生菌王国、中国绿孔雀之乡”四张世界级名片，打造大滇西旅游环线新亮点，创建国家级国际康养旅游示范区。实施旅游文化高质量发展“十大工程”，推动楚雄由旅游过境地向旅游目的地转变。</w:t>
      </w:r>
      <w:r>
        <w:rPr>
          <w:rFonts w:hint="eastAsia"/>
          <w:color w:val="auto"/>
          <w:sz w:val="30"/>
          <w:szCs w:val="30"/>
          <w:highlight w:val="none"/>
        </w:rPr>
        <w:t xml:space="preserve">       </w:t>
      </w:r>
    </w:p>
    <w:p w14:paraId="0F738329">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（一）</w:t>
      </w:r>
      <w:r>
        <w:rPr>
          <w:rFonts w:ascii="方正仿宋_GBK" w:eastAsia="方正仿宋_GBK"/>
          <w:color w:val="auto"/>
          <w:sz w:val="30"/>
          <w:szCs w:val="30"/>
          <w:highlight w:val="none"/>
        </w:rPr>
        <w:t>一个中心、四大走廊</w:t>
      </w:r>
    </w:p>
    <w:p w14:paraId="5D7B6D45">
      <w:pPr>
        <w:ind w:firstLine="600"/>
        <w:rPr>
          <w:color w:val="auto"/>
          <w:sz w:val="30"/>
          <w:szCs w:val="30"/>
          <w:highlight w:val="none"/>
        </w:rPr>
      </w:pPr>
      <w:r>
        <w:rPr>
          <w:rFonts w:ascii="方正楷体_GBK" w:eastAsia="方正楷体_GBK"/>
          <w:color w:val="auto"/>
          <w:sz w:val="30"/>
          <w:szCs w:val="30"/>
          <w:highlight w:val="none"/>
        </w:rPr>
        <w:t>一个中心。</w:t>
      </w:r>
      <w:r>
        <w:rPr>
          <w:rFonts w:hint="eastAsia" w:eastAsia="方正仿宋_GBK"/>
          <w:color w:val="auto"/>
          <w:sz w:val="30"/>
          <w:szCs w:val="30"/>
          <w:highlight w:val="none"/>
        </w:rPr>
        <w:t>围绕禄丰世界恐龙谷，建设楚雄州侏罗纪文化旅游产业园，融入大滇西旅游环线。打造大滇西旅游环线重要集散中心、滇中文化旅游重要支撑极、出昆第一站旅游目的地。</w:t>
      </w:r>
    </w:p>
    <w:p w14:paraId="631BE4CE">
      <w:pPr>
        <w:ind w:firstLine="600"/>
        <w:rPr>
          <w:color w:val="auto"/>
          <w:sz w:val="30"/>
          <w:szCs w:val="30"/>
          <w:highlight w:val="none"/>
        </w:rPr>
      </w:pPr>
      <w:r>
        <w:rPr>
          <w:rFonts w:ascii="方正楷体_GBK" w:eastAsia="方正楷体_GBK"/>
          <w:color w:val="auto"/>
          <w:sz w:val="30"/>
          <w:szCs w:val="30"/>
          <w:highlight w:val="none"/>
        </w:rPr>
        <w:t>生命起源走廊。</w:t>
      </w:r>
      <w:r>
        <w:rPr>
          <w:rFonts w:hint="eastAsia" w:eastAsia="方正仿宋_GBK"/>
          <w:color w:val="auto"/>
          <w:sz w:val="30"/>
          <w:szCs w:val="30"/>
          <w:highlight w:val="none"/>
        </w:rPr>
        <w:t>以禄丰市、元谋县为中心，楚雄市、武定县、永仁县为副中心的记述生命起源和演化的生命起源走廊</w:t>
      </w:r>
      <w:r>
        <w:rPr>
          <w:rFonts w:eastAsia="方正仿宋_GBK"/>
          <w:color w:val="auto"/>
          <w:sz w:val="30"/>
          <w:szCs w:val="30"/>
          <w:highlight w:val="none"/>
        </w:rPr>
        <w:t>。</w:t>
      </w:r>
    </w:p>
    <w:p w14:paraId="40258C87">
      <w:pPr>
        <w:ind w:firstLine="600"/>
        <w:rPr>
          <w:rFonts w:eastAsia="方正仿宋_GBK"/>
          <w:color w:val="auto"/>
          <w:sz w:val="30"/>
          <w:szCs w:val="30"/>
          <w:highlight w:val="none"/>
        </w:rPr>
      </w:pPr>
      <w:r>
        <w:rPr>
          <w:rFonts w:ascii="方正楷体_GBK" w:eastAsia="方正楷体_GBK"/>
          <w:color w:val="auto"/>
          <w:sz w:val="30"/>
          <w:szCs w:val="30"/>
          <w:highlight w:val="none"/>
        </w:rPr>
        <w:t>奇山异水走廊。</w:t>
      </w:r>
      <w:r>
        <w:rPr>
          <w:rFonts w:hint="eastAsia" w:eastAsia="方正仿宋_GBK"/>
          <w:color w:val="auto"/>
          <w:sz w:val="30"/>
          <w:szCs w:val="30"/>
          <w:highlight w:val="none"/>
        </w:rPr>
        <w:t>以楚雄市、武定县、元谋县、大姚县为中心，牟定县、姚安县、永仁县、禄丰市、双柏县为副中心的记述地球沧桑巨变的奇山异水走廊</w:t>
      </w:r>
      <w:r>
        <w:rPr>
          <w:rFonts w:eastAsia="方正仿宋_GBK"/>
          <w:color w:val="auto"/>
          <w:sz w:val="30"/>
          <w:szCs w:val="30"/>
          <w:highlight w:val="none"/>
        </w:rPr>
        <w:t>。</w:t>
      </w:r>
    </w:p>
    <w:p w14:paraId="7B8CDAC6">
      <w:pPr>
        <w:ind w:firstLine="600"/>
        <w:rPr>
          <w:rFonts w:eastAsia="方正仿宋_GBK"/>
          <w:color w:val="auto"/>
          <w:sz w:val="30"/>
          <w:szCs w:val="30"/>
          <w:highlight w:val="none"/>
        </w:rPr>
      </w:pPr>
      <w:r>
        <w:rPr>
          <w:rFonts w:ascii="方正楷体_GBK" w:eastAsia="方正楷体_GBK"/>
          <w:color w:val="auto"/>
          <w:sz w:val="30"/>
          <w:szCs w:val="30"/>
          <w:highlight w:val="none"/>
        </w:rPr>
        <w:t>古镇文化走廊。</w:t>
      </w:r>
      <w:r>
        <w:rPr>
          <w:rFonts w:eastAsia="方正仿宋_GBK"/>
          <w:color w:val="auto"/>
          <w:sz w:val="30"/>
          <w:szCs w:val="30"/>
          <w:highlight w:val="none"/>
        </w:rPr>
        <w:t>建设以楚雄市为中心，禄丰市、姚安县、大姚县为副中心的记述中原文化、古滇文化、民族文化、边陲文化相互激荡、交相辉映的古镇文化走廊。</w:t>
      </w:r>
    </w:p>
    <w:p w14:paraId="65B1E5EC">
      <w:pPr>
        <w:ind w:firstLine="600"/>
        <w:rPr>
          <w:rFonts w:eastAsia="方正仿宋_GBK"/>
          <w:color w:val="auto"/>
          <w:sz w:val="30"/>
          <w:szCs w:val="30"/>
          <w:highlight w:val="none"/>
        </w:rPr>
      </w:pPr>
      <w:r>
        <w:rPr>
          <w:rFonts w:ascii="方正楷体_GBK" w:eastAsia="方正楷体_GBK"/>
          <w:color w:val="auto"/>
          <w:sz w:val="30"/>
          <w:szCs w:val="30"/>
          <w:highlight w:val="none"/>
        </w:rPr>
        <w:t>民族文化示范走廊。</w:t>
      </w:r>
      <w:r>
        <w:rPr>
          <w:rFonts w:eastAsia="方正仿宋_GBK"/>
          <w:color w:val="auto"/>
          <w:sz w:val="30"/>
          <w:szCs w:val="30"/>
          <w:highlight w:val="none"/>
        </w:rPr>
        <w:t>建设以楚雄市、双柏县、牟定县、永仁县为中心，南华县、姚安县、大姚县、武定县、禄丰市为副中心的展示铸牢中华民族共同体意识，各民族交往交流交融的民族文化示范走廊。</w:t>
      </w:r>
    </w:p>
    <w:p w14:paraId="74CE82A5">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（二）</w:t>
      </w:r>
      <w:r>
        <w:rPr>
          <w:rFonts w:ascii="方正仿宋_GBK" w:eastAsia="方正仿宋_GBK"/>
          <w:color w:val="auto"/>
          <w:sz w:val="30"/>
          <w:szCs w:val="30"/>
          <w:highlight w:val="none"/>
        </w:rPr>
        <w:t>支持旅游功能区建设</w:t>
      </w:r>
    </w:p>
    <w:p w14:paraId="3176F412">
      <w:pPr>
        <w:ind w:firstLine="600"/>
        <w:rPr>
          <w:rFonts w:eastAsia="方正仿宋_GBK"/>
          <w:color w:val="auto"/>
          <w:sz w:val="30"/>
          <w:szCs w:val="30"/>
          <w:highlight w:val="none"/>
        </w:rPr>
      </w:pPr>
      <w:r>
        <w:rPr>
          <w:rFonts w:eastAsia="方正仿宋_GBK"/>
          <w:color w:val="auto"/>
          <w:sz w:val="30"/>
          <w:szCs w:val="30"/>
          <w:highlight w:val="none"/>
        </w:rPr>
        <w:t>遵循全域旅游理念，加快跨</w:t>
      </w:r>
      <w:r>
        <w:rPr>
          <w:rFonts w:hint="eastAsia" w:eastAsia="方正仿宋_GBK"/>
          <w:color w:val="auto"/>
          <w:sz w:val="30"/>
          <w:szCs w:val="30"/>
          <w:highlight w:val="none"/>
        </w:rPr>
        <w:t>省</w:t>
      </w:r>
      <w:r>
        <w:rPr>
          <w:rFonts w:eastAsia="方正仿宋_GBK"/>
          <w:color w:val="auto"/>
          <w:sz w:val="30"/>
          <w:szCs w:val="30"/>
          <w:highlight w:val="none"/>
        </w:rPr>
        <w:t>旅游合作区建设，积极融入滇中核心旅游圈、大滇西旅游环线等区域性旅游目的地建设。做强楚雄民族文化、禄丰恐龙文化、元谋东方人类文化三个旅游核心区；做大武定生态文化温泉康养、永仁生态文化阳光康养、两姚古镇文化乡村休闲三个旅游区；做特金沙江峡谷、哀牢山生态文化两个旅游带；联动楚雄州精品旅游大环线。</w:t>
      </w:r>
    </w:p>
    <w:p w14:paraId="3B7E2165">
      <w:pPr>
        <w:ind w:firstLine="600"/>
        <w:rPr>
          <w:rFonts w:eastAsia="方正仿宋_GBK"/>
          <w:color w:val="auto"/>
          <w:sz w:val="30"/>
          <w:szCs w:val="30"/>
          <w:highlight w:val="none"/>
        </w:rPr>
      </w:pPr>
      <w:r>
        <w:rPr>
          <w:rFonts w:eastAsia="方正仿宋_GBK"/>
          <w:color w:val="auto"/>
          <w:sz w:val="30"/>
          <w:szCs w:val="30"/>
          <w:highlight w:val="none"/>
        </w:rPr>
        <w:t>保障</w:t>
      </w:r>
      <w:r>
        <w:rPr>
          <w:rFonts w:hint="eastAsia" w:eastAsia="方正仿宋_GBK"/>
          <w:color w:val="auto"/>
          <w:sz w:val="30"/>
          <w:szCs w:val="30"/>
          <w:highlight w:val="none"/>
        </w:rPr>
        <w:t>长江、</w:t>
      </w:r>
      <w:r>
        <w:rPr>
          <w:rFonts w:eastAsia="方正仿宋_GBK"/>
          <w:color w:val="auto"/>
          <w:sz w:val="30"/>
          <w:szCs w:val="30"/>
          <w:highlight w:val="none"/>
        </w:rPr>
        <w:t>长征国家文化公园和滇缅公路文化廊道建设；</w:t>
      </w:r>
      <w:r>
        <w:rPr>
          <w:rFonts w:hint="eastAsia" w:eastAsia="方正仿宋_GBK"/>
          <w:color w:val="auto"/>
          <w:sz w:val="30"/>
          <w:szCs w:val="30"/>
          <w:highlight w:val="none"/>
        </w:rPr>
        <w:t>配套高品质旅游服务设施</w:t>
      </w:r>
      <w:r>
        <w:rPr>
          <w:rFonts w:eastAsia="方正仿宋_GBK"/>
          <w:color w:val="auto"/>
          <w:sz w:val="30"/>
          <w:szCs w:val="30"/>
          <w:highlight w:val="none"/>
        </w:rPr>
        <w:t>；实施乡村振兴旅游发展工程，推动乡村旅游产品开发；推进健康生活目的地建设，促进旅游与健康医疗和中彝医药产业、森林康养产业融合。</w:t>
      </w:r>
    </w:p>
    <w:p w14:paraId="70D3E4C6">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（三）</w:t>
      </w:r>
      <w:r>
        <w:rPr>
          <w:rFonts w:ascii="方正仿宋_GBK" w:eastAsia="方正仿宋_GBK"/>
          <w:color w:val="auto"/>
          <w:sz w:val="30"/>
          <w:szCs w:val="30"/>
          <w:highlight w:val="none"/>
        </w:rPr>
        <w:t>保障旅游基础设施配套</w:t>
      </w:r>
    </w:p>
    <w:p w14:paraId="0BFC6BE8">
      <w:pPr>
        <w:ind w:firstLine="600"/>
        <w:rPr>
          <w:rFonts w:eastAsia="方正仿宋_GBK"/>
          <w:color w:val="auto"/>
          <w:sz w:val="30"/>
          <w:szCs w:val="30"/>
          <w:highlight w:val="none"/>
        </w:rPr>
      </w:pPr>
      <w:r>
        <w:rPr>
          <w:rFonts w:eastAsia="方正仿宋_GBK"/>
          <w:color w:val="auto"/>
          <w:sz w:val="30"/>
          <w:szCs w:val="30"/>
          <w:highlight w:val="none"/>
        </w:rPr>
        <w:t>打通主要景区的旅游专线、景区之间连接公路和旅游环线断头路，有效解决旅游交通“最后一公里”末端衔接问题；积极推动高速公路与旅游度假区、旅游景区、旅游名镇、旅游特色村的联络线建设。加快旅游线路沿线游客休息站、观景平台、旅游厕所、汽车租赁网点、应急救援站、旅游公共标识等配套公共服务设施建设。</w:t>
      </w:r>
    </w:p>
    <w:p w14:paraId="6DC44D04">
      <w:pPr>
        <w:ind w:firstLine="600"/>
        <w:rPr>
          <w:color w:val="auto"/>
          <w:sz w:val="30"/>
          <w:szCs w:val="30"/>
          <w:highlight w:val="none"/>
        </w:rPr>
      </w:pPr>
      <w:r>
        <w:rPr>
          <w:rFonts w:eastAsia="方正仿宋_GBK"/>
          <w:color w:val="auto"/>
          <w:sz w:val="30"/>
          <w:szCs w:val="30"/>
          <w:highlight w:val="none"/>
        </w:rPr>
        <w:t>提高楚雄旅游数字化、智能化服务能力和水平，建设游客综合服务平台和旅游综合管理平台。加快实现主要旅游目的地、重点旅游集散地、主要涉旅场所5G网络、</w:t>
      </w:r>
      <w:r>
        <w:rPr>
          <w:rFonts w:hint="eastAsia" w:eastAsia="方正仿宋_GBK"/>
          <w:color w:val="auto"/>
          <w:sz w:val="30"/>
          <w:szCs w:val="30"/>
          <w:highlight w:val="none"/>
          <w:lang w:eastAsia="zh-CN"/>
        </w:rPr>
        <w:t>Wi-Fi</w:t>
      </w:r>
      <w:r>
        <w:rPr>
          <w:rFonts w:eastAsia="方正仿宋_GBK"/>
          <w:color w:val="auto"/>
          <w:sz w:val="30"/>
          <w:szCs w:val="30"/>
          <w:highlight w:val="none"/>
        </w:rPr>
        <w:t>全覆盖。</w:t>
      </w:r>
    </w:p>
    <w:p w14:paraId="1ECB72F7">
      <w:pPr>
        <w:pStyle w:val="6"/>
        <w:rPr>
          <w:color w:val="auto"/>
          <w:highlight w:val="none"/>
        </w:rPr>
      </w:pPr>
      <w:r>
        <w:rPr>
          <w:rFonts w:hint="eastAsia"/>
          <w:color w:val="auto"/>
          <w:highlight w:val="none"/>
        </w:rPr>
        <w:t>二、塑造多元城乡特色空间</w:t>
      </w:r>
    </w:p>
    <w:p w14:paraId="7E061F68">
      <w:pPr>
        <w:ind w:firstLine="600"/>
        <w:rPr>
          <w:color w:val="auto"/>
          <w:sz w:val="30"/>
          <w:szCs w:val="30"/>
          <w:highlight w:val="none"/>
        </w:rPr>
      </w:pPr>
      <w:r>
        <w:rPr>
          <w:rFonts w:hint="eastAsia" w:ascii="方正楷体_GBK" w:eastAsia="方正楷体_GBK"/>
          <w:color w:val="auto"/>
          <w:sz w:val="30"/>
          <w:szCs w:val="30"/>
          <w:highlight w:val="none"/>
        </w:rPr>
        <w:t>创建</w:t>
      </w:r>
      <w:r>
        <w:rPr>
          <w:rFonts w:ascii="方正楷体_GBK" w:eastAsia="方正楷体_GBK"/>
          <w:color w:val="auto"/>
          <w:sz w:val="30"/>
          <w:szCs w:val="30"/>
          <w:highlight w:val="none"/>
        </w:rPr>
        <w:t>特色城乡人居环境。</w:t>
      </w:r>
      <w:r>
        <w:rPr>
          <w:rFonts w:hint="eastAsia" w:eastAsia="方正仿宋_GBK"/>
          <w:color w:val="auto"/>
          <w:sz w:val="30"/>
          <w:szCs w:val="30"/>
          <w:highlight w:val="none"/>
        </w:rPr>
        <w:t>立足楚雄州特点，顺应城镇发展规律，尊重自然、历史、民族文化，保护与传承文化遗产，保护特色文化资源，彰显彝族文化特色，体现区域差异性的多元文化与自然环境资源相融合的城乡特色</w:t>
      </w:r>
      <w:r>
        <w:rPr>
          <w:rFonts w:eastAsia="方正仿宋_GBK"/>
          <w:color w:val="auto"/>
          <w:sz w:val="30"/>
          <w:szCs w:val="30"/>
          <w:highlight w:val="none"/>
        </w:rPr>
        <w:t>风貌</w:t>
      </w:r>
      <w:r>
        <w:rPr>
          <w:rFonts w:hint="eastAsia" w:eastAsia="方正仿宋_GBK"/>
          <w:color w:val="auto"/>
          <w:sz w:val="30"/>
          <w:szCs w:val="30"/>
          <w:highlight w:val="none"/>
        </w:rPr>
        <w:t>，突出风貌创建特色和建设重点。</w:t>
      </w:r>
    </w:p>
    <w:p w14:paraId="4BEFC307">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彰显城镇自然山水特色。</w:t>
      </w:r>
      <w:r>
        <w:rPr>
          <w:rFonts w:hint="eastAsia" w:eastAsia="方正仿宋_GBK"/>
          <w:color w:val="auto"/>
          <w:sz w:val="30"/>
          <w:szCs w:val="30"/>
          <w:highlight w:val="none"/>
        </w:rPr>
        <w:t>优化自然山水宏观环境。综合考虑城镇的自然和人文地理条件，以保护坝区优质耕地和保障区域生态安全为前提，合理利用水域、耕地、林地及其他生态建设用地，扩大城镇生态绿色空间。科学布局城镇形态。控制城镇开发规模和强度，城镇布局应与自然人文环境融合，形成独具特色的城镇空间布局形态。避免城镇建设无序蔓延，推进城镇组团式布局，高效开发利用土地资源，科学合理配置公共服务设施用地、居住用地和生态建设用地。</w:t>
      </w:r>
    </w:p>
    <w:p w14:paraId="4819D343">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注重延续城镇历史文脉。</w:t>
      </w:r>
      <w:r>
        <w:rPr>
          <w:rFonts w:hint="eastAsia" w:eastAsia="方正仿宋_GBK"/>
          <w:color w:val="auto"/>
          <w:sz w:val="30"/>
          <w:szCs w:val="30"/>
          <w:highlight w:val="none"/>
        </w:rPr>
        <w:t>注重在城镇建设中融入传统文化元素，与原有城镇自然人文特征相协调，避免形成千城一面。注重城镇建设与各类文化保护规划的衔接，深入挖掘、提炼楚雄民族文化元素，整合文化资源，重视历史文脉的传承、发展和弘扬。增强公共建筑的地域性、民族性，促进城镇建设与文化风貌相互融合，彰显楚雄文化的多元性，提高各类城镇的文化品位。</w:t>
      </w:r>
    </w:p>
    <w:p w14:paraId="21CA8483">
      <w:pPr>
        <w:ind w:firstLine="600"/>
        <w:rPr>
          <w:color w:val="auto"/>
          <w:sz w:val="30"/>
          <w:szCs w:val="30"/>
          <w:highlight w:val="none"/>
        </w:rPr>
      </w:pPr>
      <w:r>
        <w:rPr>
          <w:rFonts w:hint="eastAsia" w:ascii="方正楷体_GBK" w:eastAsia="方正楷体_GBK"/>
          <w:color w:val="auto"/>
          <w:sz w:val="30"/>
          <w:szCs w:val="30"/>
          <w:highlight w:val="none"/>
        </w:rPr>
        <w:t>强化建筑风貌特色。</w:t>
      </w:r>
      <w:r>
        <w:rPr>
          <w:rFonts w:hint="eastAsia" w:eastAsia="方正仿宋_GBK"/>
          <w:color w:val="auto"/>
          <w:sz w:val="30"/>
          <w:szCs w:val="30"/>
          <w:highlight w:val="none"/>
        </w:rPr>
        <w:t>进一步强化全州民族特色建筑风貌。各县（市）建筑风貌应以民族文化为主线，充分挖掘各县（市）原真性文化特点，做到特色化和差异化发展。建立可操作和类型化的建筑设计指引和建设管理体系，最大化保留民族和地方传统特色，同时满足现代城镇功能和空间发展的需求。</w:t>
      </w:r>
      <w:r>
        <w:rPr>
          <w:rFonts w:hint="eastAsia"/>
          <w:color w:val="auto"/>
          <w:sz w:val="30"/>
          <w:szCs w:val="30"/>
          <w:highlight w:val="none"/>
        </w:rPr>
        <w:t xml:space="preserve"> </w:t>
      </w:r>
    </w:p>
    <w:p w14:paraId="714A60E4">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保持城乡不同风貌特色。</w:t>
      </w:r>
      <w:r>
        <w:rPr>
          <w:rFonts w:hint="eastAsia" w:eastAsia="方正仿宋_GBK"/>
          <w:color w:val="auto"/>
          <w:sz w:val="30"/>
          <w:szCs w:val="30"/>
          <w:highlight w:val="none"/>
        </w:rPr>
        <w:t>加大对城乡建设特色的引导，使城乡各具特色，尤其要注重村庄原始风貌、特色景观的保留，避免城乡风貌同质化；保护和传承好优秀文化，发展和保护好有历史记忆、地域特色、民族特点的美丽城镇和乡村。</w:t>
      </w:r>
    </w:p>
    <w:p w14:paraId="7AB12C9A">
      <w:pPr>
        <w:pStyle w:val="63"/>
        <w:rPr>
          <w:color w:val="auto"/>
          <w:highlight w:val="none"/>
        </w:rPr>
        <w:sectPr>
          <w:pgSz w:w="11906" w:h="16838"/>
          <w:pgMar w:top="2041" w:right="1644" w:bottom="1871" w:left="1644" w:header="851" w:footer="992" w:gutter="0"/>
          <w:cols w:space="425" w:num="1"/>
          <w:docGrid w:type="linesAndChars" w:linePitch="587" w:charSpace="0"/>
        </w:sectPr>
      </w:pPr>
      <w:bookmarkStart w:id="219" w:name="_Toc19762"/>
      <w:bookmarkStart w:id="220" w:name="_Toc131433351"/>
      <w:bookmarkStart w:id="221" w:name="_Toc131433185"/>
    </w:p>
    <w:p w14:paraId="75400173">
      <w:pPr>
        <w:pStyle w:val="63"/>
        <w:rPr>
          <w:color w:val="auto"/>
          <w:highlight w:val="none"/>
        </w:rPr>
      </w:pPr>
      <w:bookmarkStart w:id="222" w:name="_Toc184639399"/>
      <w:r>
        <w:rPr>
          <w:color w:val="auto"/>
          <w:highlight w:val="none"/>
        </w:rPr>
        <w:t>第</w:t>
      </w:r>
      <w:r>
        <w:rPr>
          <w:rFonts w:hint="eastAsia"/>
          <w:color w:val="auto"/>
          <w:highlight w:val="none"/>
        </w:rPr>
        <w:t>八</w:t>
      </w:r>
      <w:r>
        <w:rPr>
          <w:color w:val="auto"/>
          <w:highlight w:val="none"/>
        </w:rPr>
        <w:t>章 建设基础支撑体系</w:t>
      </w:r>
      <w:bookmarkEnd w:id="219"/>
      <w:bookmarkEnd w:id="220"/>
      <w:bookmarkEnd w:id="221"/>
      <w:bookmarkEnd w:id="222"/>
      <w:r>
        <w:rPr>
          <w:color w:val="auto"/>
          <w:highlight w:val="none"/>
        </w:rPr>
        <w:tab/>
      </w:r>
    </w:p>
    <w:p w14:paraId="3384916A">
      <w:pPr>
        <w:pStyle w:val="5"/>
        <w:rPr>
          <w:rFonts w:eastAsia="方正黑体简体"/>
          <w:color w:val="auto"/>
          <w:highlight w:val="none"/>
        </w:rPr>
      </w:pPr>
      <w:bookmarkStart w:id="223" w:name="_Toc184639400"/>
      <w:bookmarkStart w:id="224" w:name="_Toc24422"/>
      <w:bookmarkStart w:id="225" w:name="_Toc131433186"/>
      <w:bookmarkStart w:id="226" w:name="_Toc131433352"/>
      <w:r>
        <w:rPr>
          <w:color w:val="auto"/>
          <w:highlight w:val="none"/>
        </w:rPr>
        <w:t>第一节</w:t>
      </w:r>
      <w:r>
        <w:rPr>
          <w:rFonts w:hint="eastAsia" w:eastAsia="方正黑体简体"/>
          <w:color w:val="auto"/>
          <w:highlight w:val="none"/>
        </w:rPr>
        <w:t xml:space="preserve"> </w:t>
      </w:r>
      <w:r>
        <w:rPr>
          <w:color w:val="auto"/>
          <w:highlight w:val="none"/>
        </w:rPr>
        <w:t>构建现代综合交通体系</w:t>
      </w:r>
      <w:bookmarkEnd w:id="223"/>
      <w:bookmarkEnd w:id="224"/>
      <w:bookmarkEnd w:id="225"/>
      <w:bookmarkEnd w:id="226"/>
    </w:p>
    <w:p w14:paraId="7FCB5410">
      <w:pPr>
        <w:pStyle w:val="6"/>
        <w:rPr>
          <w:color w:val="auto"/>
          <w:highlight w:val="none"/>
        </w:rPr>
      </w:pPr>
      <w:r>
        <w:rPr>
          <w:color w:val="auto"/>
          <w:highlight w:val="none"/>
        </w:rPr>
        <w:t>一、州域交通格局</w:t>
      </w:r>
    </w:p>
    <w:p w14:paraId="3664F1BC">
      <w:pPr>
        <w:ind w:firstLine="600"/>
        <w:rPr>
          <w:color w:val="auto"/>
          <w:sz w:val="30"/>
          <w:szCs w:val="30"/>
          <w:highlight w:val="none"/>
        </w:rPr>
      </w:pPr>
      <w:r>
        <w:rPr>
          <w:rFonts w:eastAsia="方正仿宋_GBK"/>
          <w:color w:val="auto"/>
          <w:sz w:val="30"/>
          <w:szCs w:val="30"/>
          <w:highlight w:val="none"/>
        </w:rPr>
        <w:t>打造滇中城市群西向主通道重要枢纽，联通昆瑞通道，构建滇中城市群西部北向联系成都、攀枝花方向，南向联系昆曼大通道的重要节点。建设交通强州，完善综合交通体系，构建</w:t>
      </w:r>
      <w:r>
        <w:rPr>
          <w:rFonts w:hint="eastAsia" w:eastAsia="方正仿宋_GBK"/>
          <w:color w:val="auto"/>
          <w:sz w:val="30"/>
          <w:szCs w:val="30"/>
          <w:highlight w:val="none"/>
        </w:rPr>
        <w:t>“</w:t>
      </w:r>
      <w:r>
        <w:rPr>
          <w:rFonts w:eastAsia="方正仿宋_GBK"/>
          <w:color w:val="auto"/>
          <w:sz w:val="30"/>
          <w:szCs w:val="30"/>
          <w:highlight w:val="none"/>
        </w:rPr>
        <w:t>滇中枢纽、两出省七出州</w:t>
      </w:r>
      <w:r>
        <w:rPr>
          <w:rFonts w:hint="eastAsia" w:eastAsia="方正仿宋_GBK"/>
          <w:color w:val="auto"/>
          <w:sz w:val="30"/>
          <w:szCs w:val="30"/>
          <w:highlight w:val="none"/>
        </w:rPr>
        <w:t>”</w:t>
      </w:r>
      <w:r>
        <w:rPr>
          <w:rFonts w:eastAsia="方正仿宋_GBK"/>
          <w:color w:val="auto"/>
          <w:sz w:val="30"/>
          <w:szCs w:val="30"/>
          <w:highlight w:val="none"/>
        </w:rPr>
        <w:t>综合交通网络。实现综合交通由基本适应向适度超前转变；打造云南省西部陆海新通道的重要枢纽节点，为楚雄州实现高质量跨越式发展提供有力支撑。</w:t>
      </w:r>
    </w:p>
    <w:p w14:paraId="599A7FF4">
      <w:pPr>
        <w:ind w:firstLine="600"/>
        <w:rPr>
          <w:rFonts w:eastAsia="方正仿宋_GBK"/>
          <w:color w:val="auto"/>
          <w:sz w:val="30"/>
          <w:szCs w:val="30"/>
          <w:highlight w:val="none"/>
        </w:rPr>
      </w:pPr>
      <w:r>
        <w:rPr>
          <w:rFonts w:eastAsia="方正仿宋_GBK"/>
          <w:color w:val="auto"/>
          <w:sz w:val="30"/>
          <w:szCs w:val="30"/>
          <w:highlight w:val="none"/>
        </w:rPr>
        <w:t>支持</w:t>
      </w:r>
      <w:r>
        <w:rPr>
          <w:rFonts w:hint="eastAsia" w:eastAsia="方正仿宋_GBK"/>
          <w:color w:val="auto"/>
          <w:sz w:val="30"/>
          <w:szCs w:val="30"/>
          <w:highlight w:val="none"/>
        </w:rPr>
        <w:t>“</w:t>
      </w:r>
      <w:r>
        <w:rPr>
          <w:rFonts w:eastAsia="方正仿宋_GBK"/>
          <w:color w:val="auto"/>
          <w:sz w:val="30"/>
          <w:szCs w:val="30"/>
          <w:highlight w:val="none"/>
        </w:rPr>
        <w:t>轨道上的滇中城市群</w:t>
      </w:r>
      <w:r>
        <w:rPr>
          <w:rFonts w:hint="eastAsia" w:eastAsia="方正仿宋_GBK"/>
          <w:color w:val="auto"/>
          <w:sz w:val="30"/>
          <w:szCs w:val="30"/>
          <w:highlight w:val="none"/>
        </w:rPr>
        <w:t>”</w:t>
      </w:r>
      <w:r>
        <w:rPr>
          <w:rFonts w:eastAsia="方正仿宋_GBK"/>
          <w:color w:val="auto"/>
          <w:sz w:val="30"/>
          <w:szCs w:val="30"/>
          <w:highlight w:val="none"/>
        </w:rPr>
        <w:t>建设，推进铁路</w:t>
      </w:r>
      <w:r>
        <w:rPr>
          <w:rFonts w:hint="eastAsia" w:eastAsia="方正仿宋_GBK"/>
          <w:color w:val="auto"/>
          <w:sz w:val="30"/>
          <w:szCs w:val="30"/>
          <w:highlight w:val="none"/>
        </w:rPr>
        <w:t>“建网提速”</w:t>
      </w:r>
      <w:r>
        <w:rPr>
          <w:rFonts w:eastAsia="方正仿宋_GBK"/>
          <w:color w:val="auto"/>
          <w:sz w:val="30"/>
          <w:szCs w:val="30"/>
          <w:highlight w:val="none"/>
        </w:rPr>
        <w:t>，打通城区轨道交通快速通道；推进县域高速公路</w:t>
      </w:r>
      <w:r>
        <w:rPr>
          <w:rFonts w:hint="eastAsia" w:eastAsia="方正仿宋_GBK"/>
          <w:color w:val="auto"/>
          <w:sz w:val="30"/>
          <w:szCs w:val="30"/>
          <w:highlight w:val="none"/>
        </w:rPr>
        <w:t>“</w:t>
      </w:r>
      <w:r>
        <w:rPr>
          <w:rFonts w:eastAsia="方正仿宋_GBK"/>
          <w:color w:val="auto"/>
          <w:sz w:val="30"/>
          <w:szCs w:val="30"/>
          <w:highlight w:val="none"/>
        </w:rPr>
        <w:t>能通全通</w:t>
      </w:r>
      <w:r>
        <w:rPr>
          <w:rFonts w:hint="eastAsia" w:eastAsia="方正仿宋_GBK"/>
          <w:color w:val="auto"/>
          <w:sz w:val="30"/>
          <w:szCs w:val="30"/>
          <w:highlight w:val="none"/>
        </w:rPr>
        <w:t>”</w:t>
      </w:r>
      <w:r>
        <w:rPr>
          <w:rFonts w:eastAsia="方正仿宋_GBK"/>
          <w:color w:val="auto"/>
          <w:sz w:val="30"/>
          <w:szCs w:val="30"/>
          <w:highlight w:val="none"/>
        </w:rPr>
        <w:t>和</w:t>
      </w:r>
      <w:r>
        <w:rPr>
          <w:rFonts w:hint="eastAsia" w:eastAsia="方正仿宋_GBK"/>
          <w:color w:val="auto"/>
          <w:sz w:val="30"/>
          <w:szCs w:val="30"/>
          <w:highlight w:val="none"/>
        </w:rPr>
        <w:t>“</w:t>
      </w:r>
      <w:r>
        <w:rPr>
          <w:rFonts w:eastAsia="方正仿宋_GBK"/>
          <w:color w:val="auto"/>
          <w:sz w:val="30"/>
          <w:szCs w:val="30"/>
          <w:highlight w:val="none"/>
        </w:rPr>
        <w:t>互联互通</w:t>
      </w:r>
      <w:r>
        <w:rPr>
          <w:rFonts w:hint="eastAsia" w:eastAsia="方正仿宋_GBK"/>
          <w:color w:val="auto"/>
          <w:sz w:val="30"/>
          <w:szCs w:val="30"/>
          <w:highlight w:val="none"/>
        </w:rPr>
        <w:t>”</w:t>
      </w:r>
      <w:r>
        <w:rPr>
          <w:rFonts w:eastAsia="方正仿宋_GBK"/>
          <w:color w:val="auto"/>
          <w:sz w:val="30"/>
          <w:szCs w:val="30"/>
          <w:highlight w:val="none"/>
        </w:rPr>
        <w:t>，保障高速公路网建设；改造提升国省道干线公路和重要县乡道路，大力发展城乡公共客运及物流运输；支持金沙江中下游黄金水道建设，实施水运</w:t>
      </w:r>
      <w:r>
        <w:rPr>
          <w:rFonts w:hint="eastAsia" w:eastAsia="方正仿宋_GBK"/>
          <w:color w:val="auto"/>
          <w:sz w:val="30"/>
          <w:szCs w:val="30"/>
          <w:highlight w:val="none"/>
        </w:rPr>
        <w:t>“提级延伸”</w:t>
      </w:r>
      <w:r>
        <w:rPr>
          <w:rFonts w:eastAsia="方正仿宋_GBK"/>
          <w:color w:val="auto"/>
          <w:sz w:val="30"/>
          <w:szCs w:val="30"/>
          <w:highlight w:val="none"/>
        </w:rPr>
        <w:t>工程；支持楚雄民用机场建设，推进元谋、永仁、武定等通用机场项目前期工作。</w:t>
      </w:r>
    </w:p>
    <w:p w14:paraId="172B987F">
      <w:pPr>
        <w:ind w:firstLine="600"/>
        <w:rPr>
          <w:color w:val="auto"/>
          <w:sz w:val="30"/>
          <w:szCs w:val="30"/>
          <w:highlight w:val="none"/>
        </w:rPr>
      </w:pPr>
      <w:r>
        <w:rPr>
          <w:rFonts w:eastAsia="方正仿宋_GBK"/>
          <w:color w:val="auto"/>
          <w:sz w:val="30"/>
          <w:szCs w:val="30"/>
          <w:highlight w:val="none"/>
        </w:rPr>
        <w:t>到2035年，楚雄民用机场建成区域性航空枢纽，公路州内外互联互通、高速公路通车里程达1200</w:t>
      </w:r>
      <w:r>
        <w:rPr>
          <w:rFonts w:hint="eastAsia" w:eastAsia="方正仿宋_GBK"/>
          <w:color w:val="auto"/>
          <w:sz w:val="30"/>
          <w:szCs w:val="30"/>
          <w:highlight w:val="none"/>
        </w:rPr>
        <w:t>公里</w:t>
      </w:r>
      <w:r>
        <w:rPr>
          <w:rFonts w:eastAsia="方正仿宋_GBK"/>
          <w:color w:val="auto"/>
          <w:sz w:val="30"/>
          <w:szCs w:val="30"/>
          <w:highlight w:val="none"/>
        </w:rPr>
        <w:t>，铁路与周边主要城市轨道交通</w:t>
      </w:r>
      <w:r>
        <w:rPr>
          <w:rFonts w:hint="eastAsia" w:eastAsia="方正仿宋_GBK"/>
          <w:color w:val="auto"/>
          <w:sz w:val="30"/>
          <w:szCs w:val="30"/>
          <w:highlight w:val="none"/>
        </w:rPr>
        <w:t>充分联通</w:t>
      </w:r>
      <w:r>
        <w:rPr>
          <w:rFonts w:eastAsia="方正仿宋_GBK"/>
          <w:color w:val="auto"/>
          <w:sz w:val="30"/>
          <w:szCs w:val="30"/>
          <w:highlight w:val="none"/>
        </w:rPr>
        <w:t>、营运里程达到900</w:t>
      </w:r>
      <w:r>
        <w:rPr>
          <w:rFonts w:hint="eastAsia" w:eastAsia="方正仿宋_GBK"/>
          <w:color w:val="auto"/>
          <w:sz w:val="30"/>
          <w:szCs w:val="30"/>
          <w:highlight w:val="none"/>
        </w:rPr>
        <w:t>公里</w:t>
      </w:r>
      <w:r>
        <w:rPr>
          <w:rFonts w:eastAsia="方正仿宋_GBK"/>
          <w:color w:val="auto"/>
          <w:sz w:val="30"/>
          <w:szCs w:val="30"/>
          <w:highlight w:val="none"/>
        </w:rPr>
        <w:t>，金沙江航运稳步发展，陆水联运初见成效。</w:t>
      </w:r>
    </w:p>
    <w:p w14:paraId="7E860657">
      <w:pPr>
        <w:pStyle w:val="6"/>
        <w:rPr>
          <w:color w:val="auto"/>
          <w:highlight w:val="none"/>
        </w:rPr>
      </w:pPr>
      <w:r>
        <w:rPr>
          <w:color w:val="auto"/>
          <w:highlight w:val="none"/>
        </w:rPr>
        <w:t>二、构建内通外达综合交通网络</w:t>
      </w:r>
    </w:p>
    <w:p w14:paraId="76AE3F5F">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建设高效快捷的公路交通网。</w:t>
      </w:r>
      <w:r>
        <w:rPr>
          <w:rFonts w:eastAsia="方正仿宋_GBK"/>
          <w:color w:val="auto"/>
          <w:sz w:val="30"/>
          <w:szCs w:val="30"/>
          <w:highlight w:val="none"/>
        </w:rPr>
        <w:t>联通滇中、北进川渝，连接</w:t>
      </w:r>
      <w:r>
        <w:rPr>
          <w:rFonts w:hint="eastAsia" w:eastAsia="方正仿宋_GBK"/>
          <w:color w:val="auto"/>
          <w:sz w:val="30"/>
          <w:szCs w:val="30"/>
          <w:highlight w:val="none"/>
        </w:rPr>
        <w:t>“</w:t>
      </w:r>
      <w:r>
        <w:rPr>
          <w:rFonts w:eastAsia="方正仿宋_GBK"/>
          <w:color w:val="auto"/>
          <w:sz w:val="30"/>
          <w:szCs w:val="30"/>
          <w:highlight w:val="none"/>
        </w:rPr>
        <w:t>丝绸之路经济带</w:t>
      </w:r>
      <w:r>
        <w:rPr>
          <w:rFonts w:hint="eastAsia" w:eastAsia="方正仿宋_GBK"/>
          <w:color w:val="auto"/>
          <w:sz w:val="30"/>
          <w:szCs w:val="30"/>
          <w:highlight w:val="none"/>
        </w:rPr>
        <w:t>”</w:t>
      </w:r>
      <w:r>
        <w:rPr>
          <w:rFonts w:eastAsia="方正仿宋_GBK"/>
          <w:color w:val="auto"/>
          <w:sz w:val="30"/>
          <w:szCs w:val="30"/>
          <w:highlight w:val="none"/>
        </w:rPr>
        <w:t>国际大通道，促进楚雄城镇圈协同发展，加强城、镇、村之间互联互通。保障</w:t>
      </w:r>
      <w:r>
        <w:rPr>
          <w:rFonts w:hint="eastAsia" w:eastAsia="方正仿宋_GBK"/>
          <w:color w:val="auto"/>
          <w:sz w:val="30"/>
          <w:szCs w:val="30"/>
          <w:highlight w:val="none"/>
        </w:rPr>
        <w:t>“</w:t>
      </w:r>
      <w:r>
        <w:rPr>
          <w:rFonts w:eastAsia="方正仿宋_GBK"/>
          <w:color w:val="auto"/>
          <w:sz w:val="30"/>
          <w:szCs w:val="30"/>
          <w:highlight w:val="none"/>
        </w:rPr>
        <w:t>五纵五横两出省七出州</w:t>
      </w:r>
      <w:r>
        <w:rPr>
          <w:rFonts w:hint="eastAsia" w:eastAsia="方正仿宋_GBK"/>
          <w:color w:val="auto"/>
          <w:sz w:val="30"/>
          <w:szCs w:val="30"/>
          <w:highlight w:val="none"/>
        </w:rPr>
        <w:t>”</w:t>
      </w:r>
      <w:r>
        <w:rPr>
          <w:rFonts w:eastAsia="方正仿宋_GBK"/>
          <w:color w:val="auto"/>
          <w:sz w:val="30"/>
          <w:szCs w:val="30"/>
          <w:highlight w:val="none"/>
        </w:rPr>
        <w:t>的高速公路网和县域高速公路</w:t>
      </w:r>
      <w:r>
        <w:rPr>
          <w:rFonts w:hint="eastAsia" w:eastAsia="方正仿宋_GBK"/>
          <w:color w:val="auto"/>
          <w:sz w:val="30"/>
          <w:szCs w:val="30"/>
          <w:highlight w:val="none"/>
        </w:rPr>
        <w:t>“</w:t>
      </w:r>
      <w:r>
        <w:rPr>
          <w:rFonts w:eastAsia="方正仿宋_GBK"/>
          <w:color w:val="auto"/>
          <w:sz w:val="30"/>
          <w:szCs w:val="30"/>
          <w:highlight w:val="none"/>
        </w:rPr>
        <w:t>能通全通</w:t>
      </w:r>
      <w:r>
        <w:rPr>
          <w:rFonts w:hint="eastAsia" w:eastAsia="方正仿宋_GBK"/>
          <w:color w:val="auto"/>
          <w:sz w:val="30"/>
          <w:szCs w:val="30"/>
          <w:highlight w:val="none"/>
        </w:rPr>
        <w:t>”“</w:t>
      </w:r>
      <w:r>
        <w:rPr>
          <w:rFonts w:eastAsia="方正仿宋_GBK"/>
          <w:color w:val="auto"/>
          <w:sz w:val="30"/>
          <w:szCs w:val="30"/>
          <w:highlight w:val="none"/>
        </w:rPr>
        <w:t>互联互通</w:t>
      </w:r>
      <w:r>
        <w:rPr>
          <w:rFonts w:hint="eastAsia" w:eastAsia="方正仿宋_GBK"/>
          <w:color w:val="auto"/>
          <w:sz w:val="30"/>
          <w:szCs w:val="30"/>
          <w:highlight w:val="none"/>
        </w:rPr>
        <w:t>”</w:t>
      </w:r>
      <w:r>
        <w:rPr>
          <w:rFonts w:eastAsia="方正仿宋_GBK"/>
          <w:color w:val="auto"/>
          <w:sz w:val="30"/>
          <w:szCs w:val="30"/>
          <w:highlight w:val="none"/>
        </w:rPr>
        <w:t>工程实施，实现楚雄州10县（市）高速公路的互联。完善国省道干线公路网体系，实施楚雄州普通国省道改造升级工程，提升国省道通行能力。</w:t>
      </w:r>
      <w:r>
        <w:rPr>
          <w:rFonts w:hint="eastAsia" w:eastAsia="方正仿宋_GBK"/>
          <w:color w:val="auto"/>
          <w:sz w:val="30"/>
          <w:szCs w:val="30"/>
          <w:highlight w:val="none"/>
        </w:rPr>
        <w:t>坚持“建管养运”并重</w:t>
      </w:r>
      <w:r>
        <w:rPr>
          <w:rFonts w:eastAsia="方正仿宋_GBK"/>
          <w:color w:val="auto"/>
          <w:sz w:val="30"/>
          <w:szCs w:val="30"/>
          <w:highlight w:val="none"/>
        </w:rPr>
        <w:t>，</w:t>
      </w:r>
      <w:r>
        <w:rPr>
          <w:rFonts w:hint="eastAsia" w:eastAsia="方正仿宋_GBK"/>
          <w:color w:val="auto"/>
          <w:sz w:val="30"/>
          <w:szCs w:val="30"/>
          <w:highlight w:val="none"/>
        </w:rPr>
        <w:t>强化</w:t>
      </w:r>
      <w:r>
        <w:rPr>
          <w:rFonts w:eastAsia="方正仿宋_GBK"/>
          <w:color w:val="auto"/>
          <w:sz w:val="30"/>
          <w:szCs w:val="30"/>
          <w:highlight w:val="none"/>
        </w:rPr>
        <w:t>县乡公路标准等级提升，提高重要县乡道服务水平和能力，加强高速公路与农村公路之间的高效便捷衔接，保障行政村联网道路建设，实施农村公路路网提质改造工程，巩固提升</w:t>
      </w:r>
      <w:r>
        <w:rPr>
          <w:rFonts w:hint="eastAsia" w:eastAsia="方正仿宋_GBK"/>
          <w:color w:val="auto"/>
          <w:sz w:val="30"/>
          <w:szCs w:val="30"/>
          <w:highlight w:val="none"/>
        </w:rPr>
        <w:t>“</w:t>
      </w:r>
      <w:r>
        <w:rPr>
          <w:rFonts w:eastAsia="方正仿宋_GBK"/>
          <w:color w:val="auto"/>
          <w:sz w:val="30"/>
          <w:szCs w:val="30"/>
          <w:highlight w:val="none"/>
        </w:rPr>
        <w:t>四好农村路</w:t>
      </w:r>
      <w:r>
        <w:rPr>
          <w:rFonts w:hint="eastAsia" w:eastAsia="方正仿宋_GBK"/>
          <w:color w:val="auto"/>
          <w:sz w:val="30"/>
          <w:szCs w:val="30"/>
          <w:highlight w:val="none"/>
        </w:rPr>
        <w:t>”</w:t>
      </w:r>
      <w:r>
        <w:rPr>
          <w:rFonts w:eastAsia="方正仿宋_GBK"/>
          <w:color w:val="auto"/>
          <w:sz w:val="30"/>
          <w:szCs w:val="30"/>
          <w:highlight w:val="none"/>
        </w:rPr>
        <w:t>建设成果。</w:t>
      </w:r>
    </w:p>
    <w:p w14:paraId="15C224D0">
      <w:pPr>
        <w:ind w:firstLine="600"/>
        <w:rPr>
          <w:rFonts w:eastAsia="方正仿宋_GBK"/>
          <w:color w:val="auto"/>
          <w:sz w:val="30"/>
          <w:szCs w:val="30"/>
          <w:highlight w:val="none"/>
        </w:rPr>
      </w:pPr>
      <w:r>
        <w:rPr>
          <w:rFonts w:ascii="方正楷体_GBK" w:eastAsia="方正楷体_GBK"/>
          <w:color w:val="auto"/>
          <w:sz w:val="30"/>
          <w:szCs w:val="30"/>
          <w:highlight w:val="none"/>
        </w:rPr>
        <w:t>建设高速化的轨道交通网。</w:t>
      </w:r>
      <w:r>
        <w:rPr>
          <w:rFonts w:eastAsia="方正仿宋_GBK"/>
          <w:color w:val="auto"/>
          <w:sz w:val="30"/>
          <w:szCs w:val="30"/>
          <w:highlight w:val="none"/>
        </w:rPr>
        <w:t>构建楚雄州</w:t>
      </w:r>
      <w:r>
        <w:rPr>
          <w:rFonts w:hint="eastAsia" w:eastAsia="方正仿宋_GBK"/>
          <w:color w:val="auto"/>
          <w:sz w:val="30"/>
          <w:szCs w:val="30"/>
          <w:highlight w:val="none"/>
        </w:rPr>
        <w:t>“</w:t>
      </w:r>
      <w:r>
        <w:rPr>
          <w:rFonts w:eastAsia="方正仿宋_GBK"/>
          <w:color w:val="auto"/>
          <w:sz w:val="30"/>
          <w:szCs w:val="30"/>
          <w:highlight w:val="none"/>
        </w:rPr>
        <w:t>一环六射</w:t>
      </w:r>
      <w:r>
        <w:rPr>
          <w:rFonts w:hint="eastAsia" w:eastAsia="方正仿宋_GBK"/>
          <w:color w:val="auto"/>
          <w:sz w:val="30"/>
          <w:szCs w:val="30"/>
          <w:highlight w:val="none"/>
        </w:rPr>
        <w:t>”</w:t>
      </w:r>
      <w:r>
        <w:rPr>
          <w:rFonts w:eastAsia="方正仿宋_GBK"/>
          <w:color w:val="auto"/>
          <w:sz w:val="30"/>
          <w:szCs w:val="30"/>
          <w:highlight w:val="none"/>
        </w:rPr>
        <w:t>铁路网。推进干线铁路、城际铁路、市域（郊）铁路发展，强化南北大通道，加强东西大通道。</w:t>
      </w:r>
      <w:r>
        <w:rPr>
          <w:rFonts w:hint="eastAsia" w:eastAsia="方正仿宋_GBK"/>
          <w:color w:val="auto"/>
          <w:sz w:val="30"/>
          <w:szCs w:val="30"/>
          <w:highlight w:val="none"/>
        </w:rPr>
        <w:t>实施既有广大铁路（老广大铁路）设备补强及电气化改造工程，建设楚雄至临沧铁路（中缅铁路清水河通道），谋划中老铁路联络线玉溪—楚雄—永仁段，完善区域铁路网络。实现东达昆明、西抵大理、丽江、北至攀枝花、南下玉溪的“1小时生活圈”，构建楚雄到曲靖、蒙自、普洱、临沧、保山、丽江等城市“2小时交通出行圈”</w:t>
      </w:r>
      <w:r>
        <w:rPr>
          <w:rFonts w:eastAsia="方正仿宋_GBK"/>
          <w:color w:val="auto"/>
          <w:sz w:val="30"/>
          <w:szCs w:val="30"/>
          <w:highlight w:val="none"/>
        </w:rPr>
        <w:t xml:space="preserve">。 </w:t>
      </w:r>
    </w:p>
    <w:p w14:paraId="540AF86F">
      <w:pPr>
        <w:ind w:firstLine="600"/>
        <w:rPr>
          <w:rFonts w:eastAsia="方正仿宋_GBK"/>
          <w:color w:val="auto"/>
          <w:sz w:val="30"/>
          <w:szCs w:val="30"/>
          <w:highlight w:val="none"/>
        </w:rPr>
      </w:pPr>
      <w:r>
        <w:rPr>
          <w:rFonts w:ascii="方正楷体_GBK" w:eastAsia="方正楷体_GBK"/>
          <w:color w:val="auto"/>
          <w:sz w:val="30"/>
          <w:szCs w:val="30"/>
          <w:highlight w:val="none"/>
        </w:rPr>
        <w:t>打造广覆盖的航空网。</w:t>
      </w:r>
      <w:r>
        <w:rPr>
          <w:rFonts w:hint="eastAsia" w:eastAsia="方正仿宋_GBK"/>
          <w:color w:val="auto"/>
          <w:sz w:val="30"/>
          <w:szCs w:val="30"/>
          <w:highlight w:val="none"/>
          <w:u w:val="none"/>
        </w:rPr>
        <w:t>保障楚雄民用机场项目建设空间，</w:t>
      </w:r>
      <w:r>
        <w:rPr>
          <w:rFonts w:eastAsia="方正仿宋_GBK"/>
          <w:color w:val="auto"/>
          <w:sz w:val="30"/>
          <w:szCs w:val="30"/>
          <w:highlight w:val="none"/>
        </w:rPr>
        <w:t>推进元谋、永仁、武定等通用机场项目前期工作，适时启动建设。构建</w:t>
      </w:r>
      <w:r>
        <w:rPr>
          <w:rFonts w:hint="eastAsia" w:eastAsia="方正仿宋_GBK"/>
          <w:color w:val="auto"/>
          <w:sz w:val="30"/>
          <w:szCs w:val="30"/>
          <w:highlight w:val="none"/>
        </w:rPr>
        <w:t>“</w:t>
      </w:r>
      <w:r>
        <w:rPr>
          <w:rFonts w:eastAsia="方正仿宋_GBK"/>
          <w:color w:val="auto"/>
          <w:sz w:val="30"/>
          <w:szCs w:val="30"/>
          <w:highlight w:val="none"/>
        </w:rPr>
        <w:t>两网络</w:t>
      </w:r>
      <w:r>
        <w:rPr>
          <w:rFonts w:hint="eastAsia" w:eastAsia="方正仿宋_GBK"/>
          <w:color w:val="auto"/>
          <w:sz w:val="30"/>
          <w:szCs w:val="30"/>
          <w:highlight w:val="none"/>
        </w:rPr>
        <w:t>”</w:t>
      </w:r>
      <w:r>
        <w:rPr>
          <w:rFonts w:eastAsia="方正仿宋_GBK"/>
          <w:color w:val="auto"/>
          <w:sz w:val="30"/>
          <w:szCs w:val="30"/>
          <w:highlight w:val="none"/>
        </w:rPr>
        <w:t>（完善机场网络、航线网络）、</w:t>
      </w:r>
      <w:r>
        <w:rPr>
          <w:rFonts w:hint="eastAsia" w:eastAsia="方正仿宋_GBK"/>
          <w:color w:val="auto"/>
          <w:sz w:val="30"/>
          <w:szCs w:val="30"/>
          <w:highlight w:val="none"/>
        </w:rPr>
        <w:t>“</w:t>
      </w:r>
      <w:r>
        <w:rPr>
          <w:rFonts w:eastAsia="方正仿宋_GBK"/>
          <w:color w:val="auto"/>
          <w:sz w:val="30"/>
          <w:szCs w:val="30"/>
          <w:highlight w:val="none"/>
        </w:rPr>
        <w:t>一枢纽</w:t>
      </w:r>
      <w:r>
        <w:rPr>
          <w:rFonts w:hint="eastAsia" w:eastAsia="方正仿宋_GBK"/>
          <w:color w:val="auto"/>
          <w:sz w:val="30"/>
          <w:szCs w:val="30"/>
          <w:highlight w:val="none"/>
        </w:rPr>
        <w:t>”</w:t>
      </w:r>
      <w:r>
        <w:rPr>
          <w:rFonts w:eastAsia="方正仿宋_GBK"/>
          <w:color w:val="auto"/>
          <w:sz w:val="30"/>
          <w:szCs w:val="30"/>
          <w:highlight w:val="none"/>
        </w:rPr>
        <w:t>（以机场为中心建设综合交通枢纽）、</w:t>
      </w:r>
      <w:r>
        <w:rPr>
          <w:rFonts w:hint="eastAsia" w:eastAsia="方正仿宋_GBK"/>
          <w:color w:val="auto"/>
          <w:sz w:val="30"/>
          <w:szCs w:val="30"/>
          <w:highlight w:val="none"/>
        </w:rPr>
        <w:t>“</w:t>
      </w:r>
      <w:r>
        <w:rPr>
          <w:rFonts w:eastAsia="方正仿宋_GBK"/>
          <w:color w:val="auto"/>
          <w:sz w:val="30"/>
          <w:szCs w:val="30"/>
          <w:highlight w:val="none"/>
        </w:rPr>
        <w:t>四板块</w:t>
      </w:r>
      <w:r>
        <w:rPr>
          <w:rFonts w:hint="eastAsia" w:eastAsia="方正仿宋_GBK"/>
          <w:color w:val="auto"/>
          <w:sz w:val="30"/>
          <w:szCs w:val="30"/>
          <w:highlight w:val="none"/>
        </w:rPr>
        <w:t>”</w:t>
      </w:r>
      <w:r>
        <w:rPr>
          <w:rFonts w:eastAsia="方正仿宋_GBK"/>
          <w:color w:val="auto"/>
          <w:sz w:val="30"/>
          <w:szCs w:val="30"/>
          <w:highlight w:val="none"/>
        </w:rPr>
        <w:t>（发展航空服务业、航空物流、航空制造业和空港经济区），推进空港经济区建设，实现航空客货运输、航空物流以及与航空关联度强、指向性高的现代服务业和高端制造业集群式发展。</w:t>
      </w:r>
    </w:p>
    <w:p w14:paraId="43E98EFE">
      <w:pPr>
        <w:ind w:firstLine="600"/>
        <w:rPr>
          <w:rFonts w:eastAsia="方正仿宋_GBK"/>
          <w:color w:val="auto"/>
          <w:sz w:val="30"/>
          <w:szCs w:val="30"/>
          <w:highlight w:val="none"/>
        </w:rPr>
      </w:pPr>
      <w:r>
        <w:rPr>
          <w:rFonts w:ascii="方正楷体_GBK" w:eastAsia="方正楷体_GBK"/>
          <w:color w:val="auto"/>
          <w:sz w:val="30"/>
          <w:szCs w:val="30"/>
          <w:highlight w:val="none"/>
        </w:rPr>
        <w:t>建设现代水运网。</w:t>
      </w:r>
      <w:r>
        <w:rPr>
          <w:rFonts w:eastAsia="方正仿宋_GBK"/>
          <w:color w:val="auto"/>
          <w:sz w:val="30"/>
          <w:szCs w:val="30"/>
          <w:highlight w:val="none"/>
        </w:rPr>
        <w:t>融入金沙江、长江内河航运体系，打造融入长江经济带战略的重要通道。支持金沙江中下游黄金水道建设，配合推进金沙江中下游黄金水道的渠化航道建设，加快金沙江中、下游黄金水道的航道建设</w:t>
      </w:r>
      <w:r>
        <w:rPr>
          <w:rFonts w:hint="eastAsia" w:eastAsia="方正仿宋_GBK"/>
          <w:color w:val="auto"/>
          <w:sz w:val="30"/>
          <w:szCs w:val="30"/>
          <w:highlight w:val="none"/>
          <w:u w:val="none"/>
        </w:rPr>
        <w:t>，推进元谋港、大姚湾碧、武定新民和白马口码头建设，积极争取长江水利委员</w:t>
      </w:r>
      <w:r>
        <w:rPr>
          <w:rFonts w:eastAsia="方正仿宋_GBK"/>
          <w:color w:val="auto"/>
          <w:sz w:val="30"/>
          <w:szCs w:val="30"/>
          <w:highlight w:val="none"/>
        </w:rPr>
        <w:t>会尽早开通乌东德水电站至沿江码头抵攀枝花市的客货航线。</w:t>
      </w:r>
    </w:p>
    <w:p w14:paraId="721F89DA">
      <w:pPr>
        <w:pStyle w:val="6"/>
        <w:rPr>
          <w:color w:val="auto"/>
          <w:highlight w:val="none"/>
        </w:rPr>
      </w:pPr>
      <w:r>
        <w:rPr>
          <w:color w:val="auto"/>
          <w:highlight w:val="none"/>
        </w:rPr>
        <w:t>三、强化综合交通枢纽建设</w:t>
      </w:r>
    </w:p>
    <w:p w14:paraId="3EF85965">
      <w:pPr>
        <w:ind w:firstLine="600"/>
        <w:rPr>
          <w:rFonts w:eastAsia="方正仿宋_GBK"/>
          <w:color w:val="auto"/>
          <w:sz w:val="30"/>
          <w:szCs w:val="30"/>
          <w:highlight w:val="none"/>
        </w:rPr>
      </w:pPr>
      <w:r>
        <w:rPr>
          <w:rFonts w:eastAsia="方正仿宋_GBK"/>
          <w:color w:val="auto"/>
          <w:sz w:val="30"/>
          <w:szCs w:val="30"/>
          <w:highlight w:val="none"/>
        </w:rPr>
        <w:t>建设楚雄州</w:t>
      </w:r>
      <w:r>
        <w:rPr>
          <w:rFonts w:hint="eastAsia" w:eastAsia="方正仿宋_GBK"/>
          <w:color w:val="auto"/>
          <w:sz w:val="30"/>
          <w:szCs w:val="30"/>
          <w:highlight w:val="none"/>
        </w:rPr>
        <w:t>“</w:t>
      </w:r>
      <w:r>
        <w:rPr>
          <w:rFonts w:eastAsia="方正仿宋_GBK"/>
          <w:color w:val="auto"/>
          <w:sz w:val="30"/>
          <w:szCs w:val="30"/>
          <w:highlight w:val="none"/>
        </w:rPr>
        <w:t>带动周边、辐射滇西、连接滇中、通边出省</w:t>
      </w:r>
      <w:r>
        <w:rPr>
          <w:rFonts w:hint="eastAsia" w:eastAsia="方正仿宋_GBK"/>
          <w:color w:val="auto"/>
          <w:sz w:val="30"/>
          <w:szCs w:val="30"/>
          <w:highlight w:val="none"/>
        </w:rPr>
        <w:t>”</w:t>
      </w:r>
      <w:r>
        <w:rPr>
          <w:rFonts w:eastAsia="方正仿宋_GBK"/>
          <w:color w:val="auto"/>
          <w:sz w:val="30"/>
          <w:szCs w:val="30"/>
          <w:highlight w:val="none"/>
        </w:rPr>
        <w:t>的地区性综合交通枢纽。</w:t>
      </w:r>
    </w:p>
    <w:p w14:paraId="588A526E">
      <w:pPr>
        <w:ind w:firstLine="600"/>
        <w:rPr>
          <w:rFonts w:eastAsia="方正仿宋_GBK"/>
          <w:color w:val="auto"/>
          <w:sz w:val="30"/>
          <w:szCs w:val="30"/>
          <w:highlight w:val="none"/>
        </w:rPr>
      </w:pPr>
      <w:r>
        <w:rPr>
          <w:rFonts w:eastAsia="方正仿宋_GBK"/>
          <w:color w:val="auto"/>
          <w:sz w:val="30"/>
          <w:szCs w:val="30"/>
          <w:highlight w:val="none"/>
        </w:rPr>
        <w:t>构建</w:t>
      </w:r>
      <w:r>
        <w:rPr>
          <w:rFonts w:hint="eastAsia" w:eastAsia="方正仿宋_GBK"/>
          <w:color w:val="auto"/>
          <w:sz w:val="30"/>
          <w:szCs w:val="30"/>
          <w:highlight w:val="none"/>
        </w:rPr>
        <w:t>“</w:t>
      </w:r>
      <w:r>
        <w:rPr>
          <w:rFonts w:eastAsia="方正仿宋_GBK"/>
          <w:color w:val="auto"/>
          <w:sz w:val="30"/>
          <w:szCs w:val="30"/>
          <w:highlight w:val="none"/>
        </w:rPr>
        <w:t>一核多中心</w:t>
      </w:r>
      <w:r>
        <w:rPr>
          <w:rFonts w:hint="eastAsia" w:eastAsia="方正仿宋_GBK"/>
          <w:color w:val="auto"/>
          <w:sz w:val="30"/>
          <w:szCs w:val="30"/>
          <w:highlight w:val="none"/>
        </w:rPr>
        <w:t>”</w:t>
      </w:r>
      <w:r>
        <w:rPr>
          <w:rFonts w:eastAsia="方正仿宋_GBK"/>
          <w:color w:val="auto"/>
          <w:sz w:val="30"/>
          <w:szCs w:val="30"/>
          <w:highlight w:val="none"/>
        </w:rPr>
        <w:t>的州域客货运枢纽体系。</w:t>
      </w:r>
      <w:r>
        <w:rPr>
          <w:rFonts w:hint="eastAsia" w:eastAsia="方正仿宋_GBK"/>
          <w:color w:val="auto"/>
          <w:sz w:val="30"/>
          <w:szCs w:val="30"/>
          <w:highlight w:val="none"/>
          <w:u w:val="none"/>
        </w:rPr>
        <w:t>支持楚雄民用机场及公铁路枢纽建设，强化“楚雄+广通”地区性综合交通枢纽核心地位，建设“多式”联运客货运中心；依托公铁路枢纽</w:t>
      </w:r>
      <w:r>
        <w:rPr>
          <w:rFonts w:eastAsia="方正仿宋_GBK"/>
          <w:color w:val="auto"/>
          <w:sz w:val="30"/>
          <w:szCs w:val="30"/>
          <w:highlight w:val="none"/>
        </w:rPr>
        <w:t>节点，加强楚雄州与滇中、滇西、川南方向的联系，支持禄丰、南华、永仁3个州域综合交通枢纽节点建设；建设</w:t>
      </w:r>
      <w:r>
        <w:rPr>
          <w:rFonts w:hint="eastAsia" w:eastAsia="方正仿宋_GBK"/>
          <w:color w:val="auto"/>
          <w:sz w:val="30"/>
          <w:szCs w:val="30"/>
          <w:highlight w:val="none"/>
        </w:rPr>
        <w:t>元谋</w:t>
      </w:r>
      <w:r>
        <w:rPr>
          <w:rFonts w:eastAsia="方正仿宋_GBK"/>
          <w:color w:val="auto"/>
          <w:sz w:val="30"/>
          <w:szCs w:val="30"/>
          <w:highlight w:val="none"/>
        </w:rPr>
        <w:t>、武定、大姚、姚安、双柏综合交通枢纽节点，保障县级公铁路站点、城市公交站点、停车场建设，加强县域间客货运交通联系，强化城镇对乡村地区客货运辐射。</w:t>
      </w:r>
    </w:p>
    <w:p w14:paraId="4D891E87">
      <w:pPr>
        <w:ind w:firstLine="600"/>
        <w:rPr>
          <w:color w:val="auto"/>
          <w:sz w:val="30"/>
          <w:szCs w:val="30"/>
          <w:highlight w:val="none"/>
        </w:rPr>
      </w:pPr>
      <w:r>
        <w:rPr>
          <w:rFonts w:eastAsia="方正仿宋_GBK"/>
          <w:color w:val="auto"/>
          <w:sz w:val="30"/>
          <w:szCs w:val="30"/>
          <w:highlight w:val="none"/>
        </w:rPr>
        <w:t>保障枢纽联络线、疏解线等工程实施，完善检修、维修配套设施，提升各级交通枢纽衔接配套水平。</w:t>
      </w:r>
    </w:p>
    <w:p w14:paraId="2064EF58">
      <w:pPr>
        <w:pStyle w:val="6"/>
        <w:rPr>
          <w:color w:val="auto"/>
          <w:highlight w:val="none"/>
        </w:rPr>
      </w:pPr>
      <w:r>
        <w:rPr>
          <w:color w:val="auto"/>
          <w:highlight w:val="none"/>
        </w:rPr>
        <w:t>四、加强城际交通联系</w:t>
      </w:r>
    </w:p>
    <w:p w14:paraId="5B3ED5B0">
      <w:pPr>
        <w:ind w:firstLine="600"/>
        <w:rPr>
          <w:rFonts w:eastAsia="方正仿宋_GBK"/>
          <w:color w:val="auto"/>
          <w:sz w:val="30"/>
          <w:szCs w:val="30"/>
          <w:highlight w:val="none"/>
        </w:rPr>
      </w:pPr>
      <w:r>
        <w:rPr>
          <w:rFonts w:eastAsia="方正仿宋_GBK"/>
          <w:color w:val="auto"/>
          <w:sz w:val="30"/>
          <w:szCs w:val="30"/>
          <w:highlight w:val="none"/>
        </w:rPr>
        <w:t>实现楚雄至昆明城际铁路贯通，构建昆明至楚雄州中心城市1小时经济圈，加快推进楚雄—安宁（楚雄—苍岭—彩云—安丰营—安宁）轨道交通快线（滇中产业聚集区轨道交通快线1号线）建设。支持楚雄经昆明至曲靖、玉溪，楚雄至大理的高速城际轨道交通项目。</w:t>
      </w:r>
    </w:p>
    <w:p w14:paraId="1498AF29">
      <w:pPr>
        <w:ind w:firstLine="600"/>
        <w:rPr>
          <w:color w:val="auto"/>
          <w:sz w:val="30"/>
          <w:szCs w:val="30"/>
          <w:highlight w:val="none"/>
        </w:rPr>
      </w:pPr>
      <w:r>
        <w:rPr>
          <w:rFonts w:eastAsia="方正仿宋_GBK"/>
          <w:color w:val="auto"/>
          <w:sz w:val="30"/>
          <w:szCs w:val="30"/>
          <w:highlight w:val="none"/>
        </w:rPr>
        <w:t>积极推动昆明—安宁—禄丰—恐龙山镇—楚雄—南华城际轨道项目前期工作。积极协助推进滇中城市群</w:t>
      </w:r>
      <w:r>
        <w:rPr>
          <w:rFonts w:hint="eastAsia" w:eastAsia="方正仿宋_GBK"/>
          <w:color w:val="auto"/>
          <w:sz w:val="30"/>
          <w:szCs w:val="30"/>
          <w:highlight w:val="none"/>
        </w:rPr>
        <w:t>“</w:t>
      </w:r>
      <w:r>
        <w:rPr>
          <w:rFonts w:eastAsia="方正仿宋_GBK"/>
          <w:color w:val="auto"/>
          <w:sz w:val="30"/>
          <w:szCs w:val="30"/>
          <w:highlight w:val="none"/>
        </w:rPr>
        <w:t>一环</w:t>
      </w:r>
      <w:r>
        <w:rPr>
          <w:rFonts w:hint="eastAsia" w:eastAsia="方正仿宋_GBK"/>
          <w:color w:val="auto"/>
          <w:sz w:val="30"/>
          <w:szCs w:val="30"/>
          <w:highlight w:val="none"/>
        </w:rPr>
        <w:t>”</w:t>
      </w:r>
      <w:r>
        <w:rPr>
          <w:rFonts w:eastAsia="方正仿宋_GBK"/>
          <w:color w:val="auto"/>
          <w:sz w:val="30"/>
          <w:szCs w:val="30"/>
          <w:highlight w:val="none"/>
        </w:rPr>
        <w:t>城际铁路（禄劝—嵩明—宜良—澄江—晋宁—易门—恐龙山镇—禄丰—仁兴—武定—禄劝）楚雄境内段和</w:t>
      </w:r>
      <w:r>
        <w:rPr>
          <w:rFonts w:hint="eastAsia" w:eastAsia="方正仿宋_GBK"/>
          <w:color w:val="auto"/>
          <w:sz w:val="30"/>
          <w:szCs w:val="30"/>
          <w:highlight w:val="none"/>
        </w:rPr>
        <w:t>“</w:t>
      </w:r>
      <w:r>
        <w:rPr>
          <w:rFonts w:eastAsia="方正仿宋_GBK"/>
          <w:color w:val="auto"/>
          <w:sz w:val="30"/>
          <w:szCs w:val="30"/>
          <w:highlight w:val="none"/>
        </w:rPr>
        <w:t>七射线</w:t>
      </w:r>
      <w:r>
        <w:rPr>
          <w:rFonts w:hint="eastAsia" w:eastAsia="方正仿宋_GBK"/>
          <w:color w:val="auto"/>
          <w:sz w:val="30"/>
          <w:szCs w:val="30"/>
          <w:highlight w:val="none"/>
        </w:rPr>
        <w:t>”</w:t>
      </w:r>
      <w:r>
        <w:rPr>
          <w:rFonts w:eastAsia="方正仿宋_GBK"/>
          <w:color w:val="auto"/>
          <w:sz w:val="30"/>
          <w:szCs w:val="30"/>
          <w:highlight w:val="none"/>
        </w:rPr>
        <w:t>之一昆明—元谋—攀枝花城际铁路楚雄境内段建设，加快推进滇中产业聚集区轨道１号快线</w:t>
      </w:r>
      <w:r>
        <w:rPr>
          <w:rFonts w:hint="eastAsia" w:eastAsia="方正仿宋_GBK"/>
          <w:color w:val="auto"/>
          <w:sz w:val="30"/>
          <w:szCs w:val="30"/>
          <w:highlight w:val="none"/>
        </w:rPr>
        <w:t>（</w:t>
      </w:r>
      <w:r>
        <w:rPr>
          <w:rFonts w:eastAsia="方正仿宋_GBK"/>
          <w:color w:val="auto"/>
          <w:sz w:val="30"/>
          <w:szCs w:val="30"/>
          <w:highlight w:val="none"/>
        </w:rPr>
        <w:t>楚雄—苍岭—彩云—安丰营段</w:t>
      </w:r>
      <w:r>
        <w:rPr>
          <w:rFonts w:hint="eastAsia" w:eastAsia="方正仿宋_GBK"/>
          <w:color w:val="auto"/>
          <w:sz w:val="30"/>
          <w:szCs w:val="30"/>
          <w:highlight w:val="none"/>
        </w:rPr>
        <w:t>）</w:t>
      </w:r>
      <w:r>
        <w:rPr>
          <w:rFonts w:eastAsia="方正仿宋_GBK"/>
          <w:color w:val="auto"/>
          <w:sz w:val="30"/>
          <w:szCs w:val="30"/>
          <w:highlight w:val="none"/>
        </w:rPr>
        <w:t>建设。</w:t>
      </w:r>
    </w:p>
    <w:p w14:paraId="408472CA">
      <w:pPr>
        <w:pStyle w:val="6"/>
        <w:rPr>
          <w:color w:val="auto"/>
          <w:highlight w:val="none"/>
        </w:rPr>
      </w:pPr>
      <w:r>
        <w:rPr>
          <w:color w:val="auto"/>
          <w:highlight w:val="none"/>
        </w:rPr>
        <w:t>五、加快物流枢纽建设</w:t>
      </w:r>
    </w:p>
    <w:p w14:paraId="34348062">
      <w:pPr>
        <w:ind w:firstLine="600"/>
        <w:rPr>
          <w:color w:val="auto"/>
          <w:highlight w:val="none"/>
        </w:rPr>
      </w:pPr>
      <w:r>
        <w:rPr>
          <w:rFonts w:eastAsia="方正仿宋_GBK"/>
          <w:color w:val="auto"/>
          <w:sz w:val="30"/>
          <w:szCs w:val="30"/>
          <w:highlight w:val="none"/>
        </w:rPr>
        <w:t>打造</w:t>
      </w:r>
      <w:r>
        <w:rPr>
          <w:rFonts w:hint="eastAsia" w:eastAsia="方正仿宋_GBK"/>
          <w:color w:val="auto"/>
          <w:sz w:val="30"/>
          <w:szCs w:val="30"/>
          <w:highlight w:val="none"/>
        </w:rPr>
        <w:t>“两枢纽四园四中心”</w:t>
      </w:r>
      <w:r>
        <w:rPr>
          <w:rFonts w:eastAsia="方正仿宋_GBK"/>
          <w:color w:val="auto"/>
          <w:sz w:val="30"/>
          <w:szCs w:val="30"/>
          <w:highlight w:val="none"/>
        </w:rPr>
        <w:t>的物流枢纽空间布局，重点保障楚雄商贸服务型、禄丰生产服务型省级物流枢纽建设，支持永仁、牟定、南华商贸服务型和元谋特色农产品州级重点物流园区，双柏县、姚安县、大姚县、武定县综合服务型物流中心建设。加快物流通道建设，构建</w:t>
      </w:r>
      <w:r>
        <w:rPr>
          <w:rFonts w:hint="eastAsia" w:eastAsia="方正仿宋_GBK"/>
          <w:color w:val="auto"/>
          <w:sz w:val="30"/>
          <w:szCs w:val="30"/>
          <w:highlight w:val="none"/>
        </w:rPr>
        <w:t>“</w:t>
      </w:r>
      <w:r>
        <w:rPr>
          <w:rFonts w:eastAsia="方正仿宋_GBK"/>
          <w:color w:val="auto"/>
          <w:sz w:val="30"/>
          <w:szCs w:val="30"/>
          <w:highlight w:val="none"/>
        </w:rPr>
        <w:t>出滇入川、互联互通、衔接国内、对接国际</w:t>
      </w:r>
      <w:r>
        <w:rPr>
          <w:rFonts w:hint="eastAsia" w:eastAsia="方正仿宋_GBK"/>
          <w:color w:val="auto"/>
          <w:sz w:val="30"/>
          <w:szCs w:val="30"/>
          <w:highlight w:val="none"/>
        </w:rPr>
        <w:t>”</w:t>
      </w:r>
      <w:r>
        <w:rPr>
          <w:rFonts w:eastAsia="方正仿宋_GBK"/>
          <w:color w:val="auto"/>
          <w:sz w:val="30"/>
          <w:szCs w:val="30"/>
          <w:highlight w:val="none"/>
        </w:rPr>
        <w:t>的</w:t>
      </w:r>
      <w:r>
        <w:rPr>
          <w:rFonts w:hint="eastAsia" w:eastAsia="方正仿宋_GBK"/>
          <w:color w:val="auto"/>
          <w:sz w:val="30"/>
          <w:szCs w:val="30"/>
          <w:highlight w:val="none"/>
        </w:rPr>
        <w:t>“</w:t>
      </w:r>
      <w:r>
        <w:rPr>
          <w:rFonts w:eastAsia="方正仿宋_GBK"/>
          <w:color w:val="auto"/>
          <w:sz w:val="30"/>
          <w:szCs w:val="30"/>
          <w:highlight w:val="none"/>
        </w:rPr>
        <w:t>两横三纵</w:t>
      </w:r>
      <w:r>
        <w:rPr>
          <w:rFonts w:hint="eastAsia" w:eastAsia="方正仿宋_GBK"/>
          <w:color w:val="auto"/>
          <w:sz w:val="30"/>
          <w:szCs w:val="30"/>
          <w:highlight w:val="none"/>
        </w:rPr>
        <w:t>”</w:t>
      </w:r>
      <w:r>
        <w:rPr>
          <w:rFonts w:eastAsia="方正仿宋_GBK"/>
          <w:color w:val="auto"/>
          <w:sz w:val="30"/>
          <w:szCs w:val="30"/>
          <w:highlight w:val="none"/>
        </w:rPr>
        <w:t>公、铁、水、航、管综合物流通道。实施县域商业体系建设行动，建设一批具有区域辐射力和影响力的商品交易市场，加强农产品冷链加工基础设施建设，补齐县乡村高效配送短板，打造滇中连接滇西地区重要的电商快递物流集散中心，推广</w:t>
      </w:r>
      <w:r>
        <w:rPr>
          <w:rFonts w:hint="eastAsia" w:eastAsia="方正仿宋_GBK"/>
          <w:color w:val="auto"/>
          <w:sz w:val="30"/>
          <w:szCs w:val="30"/>
          <w:highlight w:val="none"/>
        </w:rPr>
        <w:t>“</w:t>
      </w:r>
      <w:r>
        <w:rPr>
          <w:rFonts w:eastAsia="方正仿宋_GBK"/>
          <w:color w:val="auto"/>
          <w:sz w:val="30"/>
          <w:szCs w:val="30"/>
          <w:highlight w:val="none"/>
        </w:rPr>
        <w:t>交邮快商</w:t>
      </w:r>
      <w:r>
        <w:rPr>
          <w:rFonts w:hint="eastAsia" w:eastAsia="方正仿宋_GBK"/>
          <w:color w:val="auto"/>
          <w:sz w:val="30"/>
          <w:szCs w:val="30"/>
          <w:highlight w:val="none"/>
        </w:rPr>
        <w:t>”</w:t>
      </w:r>
      <w:r>
        <w:rPr>
          <w:rFonts w:eastAsia="方正仿宋_GBK"/>
          <w:color w:val="auto"/>
          <w:sz w:val="30"/>
          <w:szCs w:val="30"/>
          <w:highlight w:val="none"/>
        </w:rPr>
        <w:t>融合发展模式，打通物流</w:t>
      </w:r>
      <w:r>
        <w:rPr>
          <w:rFonts w:hint="eastAsia" w:eastAsia="方正仿宋_GBK"/>
          <w:color w:val="auto"/>
          <w:sz w:val="30"/>
          <w:szCs w:val="30"/>
          <w:highlight w:val="none"/>
        </w:rPr>
        <w:t>“</w:t>
      </w:r>
      <w:r>
        <w:rPr>
          <w:rFonts w:eastAsia="方正仿宋_GBK"/>
          <w:color w:val="auto"/>
          <w:sz w:val="30"/>
          <w:szCs w:val="30"/>
          <w:highlight w:val="none"/>
        </w:rPr>
        <w:t>最后一公里</w:t>
      </w:r>
      <w:r>
        <w:rPr>
          <w:rFonts w:hint="eastAsia" w:eastAsia="方正仿宋_GBK"/>
          <w:color w:val="auto"/>
          <w:sz w:val="30"/>
          <w:szCs w:val="30"/>
          <w:highlight w:val="none"/>
        </w:rPr>
        <w:t>”</w:t>
      </w:r>
      <w:r>
        <w:rPr>
          <w:rFonts w:eastAsia="方正仿宋_GBK"/>
          <w:color w:val="auto"/>
          <w:sz w:val="30"/>
          <w:szCs w:val="30"/>
          <w:highlight w:val="none"/>
        </w:rPr>
        <w:t>。</w:t>
      </w:r>
    </w:p>
    <w:p w14:paraId="5D2DF0A3">
      <w:pPr>
        <w:pStyle w:val="11"/>
        <w:rPr>
          <w:color w:val="auto"/>
          <w:highlight w:val="none"/>
        </w:rPr>
      </w:pPr>
      <w:r>
        <w:rPr>
          <w:color w:val="auto"/>
          <w:highlight w:val="none"/>
        </w:rPr>
        <w:t>专栏</w:t>
      </w:r>
      <w:r>
        <w:rPr>
          <w:rFonts w:hint="eastAsia"/>
          <w:color w:val="auto"/>
          <w:highlight w:val="none"/>
          <w:lang w:val="en-US" w:eastAsia="zh-CN"/>
        </w:rPr>
        <w:t>13</w:t>
      </w:r>
      <w:r>
        <w:rPr>
          <w:color w:val="auto"/>
          <w:highlight w:val="none"/>
        </w:rPr>
        <w:t xml:space="preserve">  楚雄州物流枢纽建设发展指引</w:t>
      </w:r>
    </w:p>
    <w:tbl>
      <w:tblPr>
        <w:tblStyle w:val="32"/>
        <w:tblW w:w="4999" w:type="pct"/>
        <w:jc w:val="center"/>
        <w:tblLayout w:type="autofit"/>
        <w:tblCellMar>
          <w:top w:w="0" w:type="dxa"/>
          <w:left w:w="108" w:type="dxa"/>
          <w:bottom w:w="0" w:type="dxa"/>
          <w:right w:w="108" w:type="dxa"/>
        </w:tblCellMar>
      </w:tblPr>
      <w:tblGrid>
        <w:gridCol w:w="2137"/>
        <w:gridCol w:w="6697"/>
      </w:tblGrid>
      <w:tr w14:paraId="6FEAFFB0">
        <w:tblPrEx>
          <w:tblCellMar>
            <w:top w:w="0" w:type="dxa"/>
            <w:left w:w="108" w:type="dxa"/>
            <w:bottom w:w="0" w:type="dxa"/>
            <w:right w:w="108" w:type="dxa"/>
          </w:tblCellMar>
        </w:tblPrEx>
        <w:trPr>
          <w:trHeight w:val="20" w:hRule="atLeast"/>
          <w:tblHeader/>
          <w:jc w:val="center"/>
        </w:trPr>
        <w:tc>
          <w:tcPr>
            <w:tcW w:w="1206" w:type="pct"/>
            <w:tcBorders>
              <w:top w:val="single" w:color="auto" w:sz="4" w:space="0"/>
              <w:left w:val="single" w:color="auto" w:sz="4" w:space="0"/>
              <w:bottom w:val="single" w:color="auto" w:sz="4" w:space="0"/>
              <w:right w:val="single" w:color="auto" w:sz="4" w:space="0"/>
            </w:tcBorders>
            <w:vAlign w:val="center"/>
          </w:tcPr>
          <w:p w14:paraId="46759088">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工程类型</w:t>
            </w:r>
          </w:p>
        </w:tc>
        <w:tc>
          <w:tcPr>
            <w:tcW w:w="3793" w:type="pct"/>
            <w:tcBorders>
              <w:top w:val="single" w:color="auto" w:sz="4" w:space="0"/>
              <w:left w:val="nil"/>
              <w:bottom w:val="single" w:color="auto" w:sz="4" w:space="0"/>
              <w:right w:val="single" w:color="auto" w:sz="4" w:space="0"/>
            </w:tcBorders>
            <w:vAlign w:val="center"/>
          </w:tcPr>
          <w:p w14:paraId="273679C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发展指引</w:t>
            </w:r>
          </w:p>
        </w:tc>
      </w:tr>
      <w:tr w14:paraId="7CDE5127">
        <w:tblPrEx>
          <w:tblCellMar>
            <w:top w:w="0" w:type="dxa"/>
            <w:left w:w="108" w:type="dxa"/>
            <w:bottom w:w="0" w:type="dxa"/>
            <w:right w:w="108" w:type="dxa"/>
          </w:tblCellMar>
        </w:tblPrEx>
        <w:trPr>
          <w:trHeight w:val="20" w:hRule="atLeast"/>
          <w:jc w:val="center"/>
        </w:trPr>
        <w:tc>
          <w:tcPr>
            <w:tcW w:w="1206" w:type="pct"/>
            <w:tcBorders>
              <w:top w:val="nil"/>
              <w:left w:val="single" w:color="auto" w:sz="4" w:space="0"/>
              <w:bottom w:val="single" w:color="auto" w:sz="4" w:space="0"/>
              <w:right w:val="single" w:color="auto" w:sz="4" w:space="0"/>
            </w:tcBorders>
            <w:vAlign w:val="center"/>
          </w:tcPr>
          <w:p w14:paraId="256003D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省级重点物流枢纽</w:t>
            </w:r>
          </w:p>
        </w:tc>
        <w:tc>
          <w:tcPr>
            <w:tcW w:w="3793" w:type="pct"/>
            <w:tcBorders>
              <w:top w:val="nil"/>
              <w:left w:val="nil"/>
              <w:bottom w:val="single" w:color="auto" w:sz="4" w:space="0"/>
              <w:right w:val="single" w:color="auto" w:sz="4" w:space="0"/>
            </w:tcBorders>
            <w:vAlign w:val="center"/>
          </w:tcPr>
          <w:p w14:paraId="6F7F2C95">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楚雄州商贸服务型省级重点物流枢纽、禄丰生产服务型省级重点物流枢纽。</w:t>
            </w:r>
          </w:p>
        </w:tc>
      </w:tr>
      <w:tr w14:paraId="282D5B38">
        <w:tblPrEx>
          <w:tblCellMar>
            <w:top w:w="0" w:type="dxa"/>
            <w:left w:w="108" w:type="dxa"/>
            <w:bottom w:w="0" w:type="dxa"/>
            <w:right w:w="108" w:type="dxa"/>
          </w:tblCellMar>
        </w:tblPrEx>
        <w:trPr>
          <w:trHeight w:val="20" w:hRule="atLeast"/>
          <w:jc w:val="center"/>
        </w:trPr>
        <w:tc>
          <w:tcPr>
            <w:tcW w:w="1206" w:type="pct"/>
            <w:tcBorders>
              <w:top w:val="nil"/>
              <w:left w:val="single" w:color="auto" w:sz="4" w:space="0"/>
              <w:bottom w:val="single" w:color="auto" w:sz="4" w:space="0"/>
              <w:right w:val="single" w:color="auto" w:sz="4" w:space="0"/>
            </w:tcBorders>
            <w:vAlign w:val="center"/>
          </w:tcPr>
          <w:p w14:paraId="77DC3D46">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州重点物流园区</w:t>
            </w:r>
          </w:p>
        </w:tc>
        <w:tc>
          <w:tcPr>
            <w:tcW w:w="3793" w:type="pct"/>
            <w:tcBorders>
              <w:top w:val="nil"/>
              <w:left w:val="nil"/>
              <w:bottom w:val="single" w:color="auto" w:sz="4" w:space="0"/>
              <w:right w:val="single" w:color="auto" w:sz="4" w:space="0"/>
            </w:tcBorders>
            <w:vAlign w:val="center"/>
          </w:tcPr>
          <w:p w14:paraId="5727AD3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牟定综合服务型州级重点物流园、南华商贸服务型州级重点物流园区、永仁综合服务型州级重点物流园区、元谋特色农产品州级重点物流园区。</w:t>
            </w:r>
          </w:p>
        </w:tc>
      </w:tr>
      <w:tr w14:paraId="5B94DFB4">
        <w:tblPrEx>
          <w:tblCellMar>
            <w:top w:w="0" w:type="dxa"/>
            <w:left w:w="108" w:type="dxa"/>
            <w:bottom w:w="0" w:type="dxa"/>
            <w:right w:w="108" w:type="dxa"/>
          </w:tblCellMar>
        </w:tblPrEx>
        <w:trPr>
          <w:trHeight w:val="20" w:hRule="atLeast"/>
          <w:jc w:val="center"/>
        </w:trPr>
        <w:tc>
          <w:tcPr>
            <w:tcW w:w="1206" w:type="pct"/>
            <w:tcBorders>
              <w:top w:val="nil"/>
              <w:left w:val="single" w:color="auto" w:sz="4" w:space="0"/>
              <w:bottom w:val="single" w:color="auto" w:sz="4" w:space="0"/>
              <w:right w:val="single" w:color="auto" w:sz="4" w:space="0"/>
            </w:tcBorders>
            <w:noWrap/>
            <w:vAlign w:val="center"/>
          </w:tcPr>
          <w:p w14:paraId="6F11425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县级重点物流园区</w:t>
            </w:r>
          </w:p>
        </w:tc>
        <w:tc>
          <w:tcPr>
            <w:tcW w:w="3793" w:type="pct"/>
            <w:tcBorders>
              <w:top w:val="nil"/>
              <w:left w:val="nil"/>
              <w:bottom w:val="single" w:color="auto" w:sz="4" w:space="0"/>
              <w:right w:val="single" w:color="auto" w:sz="4" w:space="0"/>
            </w:tcBorders>
            <w:noWrap/>
            <w:vAlign w:val="center"/>
          </w:tcPr>
          <w:p w14:paraId="042A088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双柏县、姚安县、大姚县、武定县4个综合服务型物流中心。</w:t>
            </w:r>
          </w:p>
        </w:tc>
      </w:tr>
    </w:tbl>
    <w:p w14:paraId="7956E7FC">
      <w:pPr>
        <w:pStyle w:val="5"/>
        <w:rPr>
          <w:rFonts w:eastAsia="方正黑体简体"/>
          <w:color w:val="auto"/>
          <w:highlight w:val="none"/>
        </w:rPr>
      </w:pPr>
      <w:bookmarkStart w:id="227" w:name="_Toc131433353"/>
      <w:bookmarkStart w:id="228" w:name="_Toc184639401"/>
      <w:bookmarkStart w:id="229" w:name="_Toc131433187"/>
      <w:bookmarkStart w:id="230" w:name="_Toc6225"/>
      <w:bookmarkStart w:id="231" w:name="_Toc79510744"/>
      <w:r>
        <w:rPr>
          <w:color w:val="auto"/>
          <w:highlight w:val="none"/>
        </w:rPr>
        <w:t>第二节</w:t>
      </w:r>
      <w:r>
        <w:rPr>
          <w:rFonts w:hint="eastAsia" w:eastAsia="方正黑体简体"/>
          <w:color w:val="auto"/>
          <w:highlight w:val="none"/>
        </w:rPr>
        <w:t xml:space="preserve"> </w:t>
      </w:r>
      <w:r>
        <w:rPr>
          <w:color w:val="auto"/>
          <w:highlight w:val="none"/>
        </w:rPr>
        <w:t>统筹区域水资源利用调配</w:t>
      </w:r>
      <w:bookmarkEnd w:id="227"/>
      <w:bookmarkEnd w:id="228"/>
      <w:bookmarkEnd w:id="229"/>
      <w:bookmarkEnd w:id="230"/>
      <w:bookmarkEnd w:id="231"/>
    </w:p>
    <w:p w14:paraId="160EA875">
      <w:pPr>
        <w:pStyle w:val="6"/>
        <w:rPr>
          <w:color w:val="auto"/>
          <w:highlight w:val="none"/>
        </w:rPr>
      </w:pPr>
      <w:bookmarkStart w:id="232" w:name="_Toc79510745"/>
      <w:r>
        <w:rPr>
          <w:color w:val="auto"/>
          <w:highlight w:val="none"/>
        </w:rPr>
        <w:t>一、</w:t>
      </w:r>
      <w:bookmarkEnd w:id="232"/>
      <w:r>
        <w:rPr>
          <w:color w:val="auto"/>
          <w:highlight w:val="none"/>
        </w:rPr>
        <w:t>严格落实水资源开发利用总量和用水效率红线</w:t>
      </w:r>
    </w:p>
    <w:p w14:paraId="4B61585C">
      <w:pPr>
        <w:ind w:firstLine="600"/>
        <w:rPr>
          <w:rFonts w:eastAsia="方正仿宋_GBK"/>
          <w:color w:val="auto"/>
          <w:sz w:val="30"/>
          <w:szCs w:val="30"/>
          <w:highlight w:val="none"/>
        </w:rPr>
      </w:pPr>
      <w:r>
        <w:rPr>
          <w:rFonts w:eastAsia="方正仿宋_GBK"/>
          <w:color w:val="auto"/>
          <w:sz w:val="30"/>
          <w:szCs w:val="30"/>
          <w:highlight w:val="none"/>
        </w:rPr>
        <w:t>深入落实最严格水资源管理制度，严守水资源开发利用控制、用水效率控制和水功能区限制纳污</w:t>
      </w:r>
      <w:r>
        <w:rPr>
          <w:rFonts w:hint="eastAsia" w:eastAsia="方正仿宋_GBK"/>
          <w:color w:val="auto"/>
          <w:sz w:val="30"/>
          <w:szCs w:val="30"/>
          <w:highlight w:val="none"/>
        </w:rPr>
        <w:t>“</w:t>
      </w:r>
      <w:r>
        <w:rPr>
          <w:rFonts w:eastAsia="方正仿宋_GBK"/>
          <w:color w:val="auto"/>
          <w:sz w:val="30"/>
          <w:szCs w:val="30"/>
          <w:highlight w:val="none"/>
        </w:rPr>
        <w:t>三条红线</w:t>
      </w:r>
      <w:r>
        <w:rPr>
          <w:rFonts w:hint="eastAsia" w:eastAsia="方正仿宋_GBK"/>
          <w:color w:val="auto"/>
          <w:sz w:val="30"/>
          <w:szCs w:val="30"/>
          <w:highlight w:val="none"/>
        </w:rPr>
        <w:t>”</w:t>
      </w:r>
      <w:r>
        <w:rPr>
          <w:rFonts w:eastAsia="方正仿宋_GBK"/>
          <w:color w:val="auto"/>
          <w:sz w:val="30"/>
          <w:szCs w:val="30"/>
          <w:highlight w:val="none"/>
        </w:rPr>
        <w:t>。坚持以水定城、以水定地、以水定人、以水定产，建立水资源刚性约束制度，严控水资源开发利用上限，不断促进经济社会发展与水资源承载力相协调。强化水资源承载能力刚性约束，严格实施水资源消耗总量和强度双控行动，加强取用水效率监督管理。大力推进农业、工业、城镇节水等重点领域节水。</w:t>
      </w:r>
    </w:p>
    <w:p w14:paraId="7087A2AD">
      <w:pPr>
        <w:ind w:firstLine="600"/>
        <w:rPr>
          <w:rFonts w:eastAsia="方正仿宋_GBK"/>
          <w:color w:val="auto"/>
          <w:sz w:val="30"/>
          <w:szCs w:val="30"/>
          <w:highlight w:val="none"/>
          <w:u w:val="none"/>
        </w:rPr>
      </w:pPr>
      <w:r>
        <w:rPr>
          <w:rFonts w:eastAsia="方正仿宋_GBK"/>
          <w:color w:val="auto"/>
          <w:sz w:val="30"/>
          <w:szCs w:val="30"/>
          <w:highlight w:val="none"/>
        </w:rPr>
        <w:t>坚持节水优先，强化水资源刚性约束，合理配置水资源，按照</w:t>
      </w:r>
      <w:r>
        <w:rPr>
          <w:rFonts w:hint="eastAsia" w:eastAsia="方正仿宋_GBK"/>
          <w:color w:val="auto"/>
          <w:sz w:val="30"/>
          <w:szCs w:val="30"/>
          <w:highlight w:val="none"/>
        </w:rPr>
        <w:t>“</w:t>
      </w:r>
      <w:r>
        <w:rPr>
          <w:rFonts w:eastAsia="方正仿宋_GBK"/>
          <w:color w:val="auto"/>
          <w:sz w:val="30"/>
          <w:szCs w:val="30"/>
          <w:highlight w:val="none"/>
        </w:rPr>
        <w:t>节水优先、空间均衡、系统治理、两手发力</w:t>
      </w:r>
      <w:r>
        <w:rPr>
          <w:rFonts w:hint="eastAsia" w:eastAsia="方正仿宋_GBK"/>
          <w:color w:val="auto"/>
          <w:sz w:val="30"/>
          <w:szCs w:val="30"/>
          <w:highlight w:val="none"/>
        </w:rPr>
        <w:t>”</w:t>
      </w:r>
      <w:r>
        <w:rPr>
          <w:rFonts w:eastAsia="方正仿宋_GBK"/>
          <w:color w:val="auto"/>
          <w:sz w:val="30"/>
          <w:szCs w:val="30"/>
          <w:highlight w:val="none"/>
        </w:rPr>
        <w:t>的治水方针和水资源、水生态、水环境、水灾害统筹治理的治水新思路，加强重点领域节水，抓紧推进重点水源工程和水资源配置骨干工程，加强常规水源与应急备用水源工程建设，推进城乡一体化供水，构建系统完善、量质并重、多源互补、调控自如的城乡供水网，全面提升城乡供水安全，健全水资源配置体系。</w:t>
      </w:r>
      <w:r>
        <w:rPr>
          <w:rFonts w:hint="eastAsia" w:eastAsia="方正仿宋_GBK"/>
          <w:color w:val="auto"/>
          <w:sz w:val="30"/>
          <w:szCs w:val="30"/>
          <w:highlight w:val="none"/>
        </w:rPr>
        <w:t>至2035年，全州用水总量不超过上级下达指标，</w:t>
      </w:r>
      <w:r>
        <w:rPr>
          <w:rFonts w:hint="default" w:eastAsia="方正仿宋_GBK"/>
          <w:color w:val="auto"/>
          <w:sz w:val="30"/>
          <w:szCs w:val="30"/>
          <w:highlight w:val="none"/>
          <w:u w:val="none"/>
        </w:rPr>
        <w:t>其中2025年不超过</w:t>
      </w:r>
      <w:r>
        <w:rPr>
          <w:rFonts w:eastAsia="方正仿宋_GBK"/>
          <w:color w:val="auto"/>
          <w:sz w:val="30"/>
          <w:szCs w:val="30"/>
          <w:highlight w:val="none"/>
          <w:u w:val="none"/>
        </w:rPr>
        <w:t>12.6</w:t>
      </w:r>
      <w:r>
        <w:rPr>
          <w:rFonts w:hint="default" w:eastAsia="方正仿宋_GBK"/>
          <w:color w:val="auto"/>
          <w:sz w:val="30"/>
          <w:szCs w:val="30"/>
          <w:highlight w:val="none"/>
          <w:u w:val="none"/>
        </w:rPr>
        <w:t>0</w:t>
      </w:r>
      <w:r>
        <w:rPr>
          <w:rFonts w:eastAsia="方正仿宋_GBK"/>
          <w:color w:val="auto"/>
          <w:sz w:val="30"/>
          <w:szCs w:val="30"/>
          <w:highlight w:val="none"/>
          <w:u w:val="none"/>
        </w:rPr>
        <w:t>亿立方米</w:t>
      </w:r>
      <w:r>
        <w:rPr>
          <w:rFonts w:hint="default" w:eastAsia="方正仿宋_GBK"/>
          <w:color w:val="auto"/>
          <w:sz w:val="30"/>
          <w:szCs w:val="30"/>
          <w:highlight w:val="none"/>
          <w:u w:val="none"/>
        </w:rPr>
        <w:t>。</w:t>
      </w:r>
    </w:p>
    <w:p w14:paraId="1E78BE36">
      <w:pPr>
        <w:pStyle w:val="6"/>
        <w:rPr>
          <w:color w:val="auto"/>
          <w:highlight w:val="none"/>
        </w:rPr>
      </w:pPr>
      <w:bookmarkStart w:id="233" w:name="_Toc79510746"/>
      <w:r>
        <w:rPr>
          <w:color w:val="auto"/>
          <w:highlight w:val="none"/>
        </w:rPr>
        <w:t>二、水资源配置工程</w:t>
      </w:r>
      <w:bookmarkEnd w:id="233"/>
    </w:p>
    <w:p w14:paraId="1925DEBC">
      <w:pPr>
        <w:ind w:firstLine="600"/>
        <w:rPr>
          <w:rFonts w:eastAsia="方正仿宋_GBK"/>
          <w:color w:val="auto"/>
          <w:sz w:val="30"/>
          <w:szCs w:val="30"/>
          <w:highlight w:val="none"/>
          <w:u w:val="none"/>
        </w:rPr>
      </w:pPr>
      <w:r>
        <w:rPr>
          <w:rFonts w:eastAsia="方正仿宋_GBK"/>
          <w:color w:val="auto"/>
          <w:sz w:val="30"/>
          <w:szCs w:val="30"/>
          <w:highlight w:val="none"/>
        </w:rPr>
        <w:t>依托</w:t>
      </w:r>
      <w:r>
        <w:rPr>
          <w:rFonts w:hint="eastAsia" w:eastAsia="方正仿宋_GBK"/>
          <w:color w:val="auto"/>
          <w:sz w:val="30"/>
          <w:szCs w:val="30"/>
          <w:highlight w:val="none"/>
        </w:rPr>
        <w:t>“</w:t>
      </w:r>
      <w:r>
        <w:rPr>
          <w:rFonts w:eastAsia="方正仿宋_GBK"/>
          <w:color w:val="auto"/>
          <w:sz w:val="30"/>
          <w:szCs w:val="30"/>
          <w:highlight w:val="none"/>
        </w:rPr>
        <w:t>五江六河</w:t>
      </w:r>
      <w:r>
        <w:rPr>
          <w:rFonts w:hint="eastAsia" w:eastAsia="方正仿宋_GBK"/>
          <w:color w:val="auto"/>
          <w:sz w:val="30"/>
          <w:szCs w:val="30"/>
          <w:highlight w:val="none"/>
        </w:rPr>
        <w:t>”</w:t>
      </w:r>
      <w:r>
        <w:rPr>
          <w:rFonts w:eastAsia="方正仿宋_GBK"/>
          <w:color w:val="auto"/>
          <w:sz w:val="30"/>
          <w:szCs w:val="30"/>
          <w:highlight w:val="none"/>
        </w:rPr>
        <w:t>（金沙江、礼社江、龙川江、渔泡江、绿汁江，蜻蛉河、万马河、勐果河、勐岗河、马龙河、沙甸河），实施差异化水资源配置工程。提升防洪能力，强化水生态保护修复，筑牢沿江沿河供水、防洪、生态安全屏障。实施</w:t>
      </w:r>
      <w:r>
        <w:rPr>
          <w:rFonts w:hint="eastAsia" w:eastAsia="方正仿宋_GBK"/>
          <w:color w:val="auto"/>
          <w:sz w:val="30"/>
          <w:szCs w:val="30"/>
          <w:highlight w:val="none"/>
        </w:rPr>
        <w:t>“</w:t>
      </w:r>
      <w:r>
        <w:rPr>
          <w:rFonts w:eastAsia="方正仿宋_GBK"/>
          <w:color w:val="auto"/>
          <w:sz w:val="30"/>
          <w:szCs w:val="30"/>
          <w:highlight w:val="none"/>
        </w:rPr>
        <w:t>兴水润楚</w:t>
      </w:r>
      <w:r>
        <w:rPr>
          <w:rFonts w:hint="eastAsia" w:eastAsia="方正仿宋_GBK"/>
          <w:color w:val="auto"/>
          <w:sz w:val="30"/>
          <w:szCs w:val="30"/>
          <w:highlight w:val="none"/>
        </w:rPr>
        <w:t>”</w:t>
      </w:r>
      <w:r>
        <w:rPr>
          <w:rFonts w:eastAsia="方正仿宋_GBK"/>
          <w:color w:val="auto"/>
          <w:sz w:val="30"/>
          <w:szCs w:val="30"/>
          <w:highlight w:val="none"/>
        </w:rPr>
        <w:t>行动，</w:t>
      </w:r>
      <w:r>
        <w:rPr>
          <w:rFonts w:hint="default" w:eastAsia="方正仿宋_GBK"/>
          <w:color w:val="auto"/>
          <w:sz w:val="30"/>
          <w:szCs w:val="30"/>
          <w:highlight w:val="none"/>
          <w:u w:val="none"/>
        </w:rPr>
        <w:t>保障</w:t>
      </w:r>
      <w:r>
        <w:rPr>
          <w:rFonts w:eastAsia="方正仿宋_GBK"/>
          <w:color w:val="auto"/>
          <w:sz w:val="30"/>
          <w:szCs w:val="30"/>
          <w:highlight w:val="none"/>
          <w:u w:val="none"/>
        </w:rPr>
        <w:t>牟定小石门大（</w:t>
      </w:r>
      <w:r>
        <w:rPr>
          <w:rFonts w:hint="default" w:eastAsia="方正仿宋_GBK"/>
          <w:color w:val="auto"/>
          <w:sz w:val="30"/>
          <w:szCs w:val="30"/>
          <w:highlight w:val="none"/>
          <w:u w:val="none"/>
        </w:rPr>
        <w:t>2</w:t>
      </w:r>
      <w:r>
        <w:rPr>
          <w:rFonts w:eastAsia="方正仿宋_GBK"/>
          <w:color w:val="auto"/>
          <w:sz w:val="30"/>
          <w:szCs w:val="30"/>
          <w:highlight w:val="none"/>
          <w:u w:val="none"/>
        </w:rPr>
        <w:t>）型和楚雄九龙甸中型、禄丰东河中型扩建大（</w:t>
      </w:r>
      <w:r>
        <w:rPr>
          <w:rFonts w:hint="default" w:eastAsia="方正仿宋_GBK"/>
          <w:color w:val="auto"/>
          <w:sz w:val="30"/>
          <w:szCs w:val="30"/>
          <w:highlight w:val="none"/>
          <w:u w:val="none"/>
        </w:rPr>
        <w:t>2</w:t>
      </w:r>
      <w:r>
        <w:rPr>
          <w:rFonts w:eastAsia="方正仿宋_GBK"/>
          <w:color w:val="auto"/>
          <w:sz w:val="30"/>
          <w:szCs w:val="30"/>
          <w:highlight w:val="none"/>
          <w:u w:val="none"/>
        </w:rPr>
        <w:t>）型等战略水源项目建设空间。</w:t>
      </w:r>
      <w:r>
        <w:rPr>
          <w:rFonts w:hint="default" w:eastAsia="方正仿宋_GBK"/>
          <w:color w:val="auto"/>
          <w:sz w:val="30"/>
          <w:szCs w:val="30"/>
          <w:highlight w:val="none"/>
          <w:u w:val="none"/>
        </w:rPr>
        <w:t>保障</w:t>
      </w:r>
      <w:r>
        <w:rPr>
          <w:rFonts w:eastAsia="方正仿宋_GBK"/>
          <w:color w:val="auto"/>
          <w:sz w:val="30"/>
          <w:szCs w:val="30"/>
          <w:highlight w:val="none"/>
          <w:u w:val="none"/>
        </w:rPr>
        <w:t>滇中引水二期工程、</w:t>
      </w:r>
      <w:r>
        <w:rPr>
          <w:rFonts w:hint="default" w:eastAsia="方正仿宋_GBK"/>
          <w:color w:val="auto"/>
          <w:sz w:val="30"/>
          <w:szCs w:val="30"/>
          <w:highlight w:val="none"/>
          <w:u w:val="none"/>
        </w:rPr>
        <w:t>不管河（礼社江）</w:t>
      </w:r>
      <w:r>
        <w:rPr>
          <w:rFonts w:eastAsia="方正仿宋_GBK"/>
          <w:color w:val="auto"/>
          <w:sz w:val="30"/>
          <w:szCs w:val="30"/>
          <w:highlight w:val="none"/>
          <w:u w:val="none"/>
        </w:rPr>
        <w:t>引水工程等重点区域跨流域引调水工程建设空间。</w:t>
      </w:r>
    </w:p>
    <w:p w14:paraId="5CDE7FDA">
      <w:pPr>
        <w:ind w:firstLine="600"/>
        <w:rPr>
          <w:rFonts w:eastAsia="方正仿宋_GBK"/>
          <w:color w:val="auto"/>
          <w:sz w:val="30"/>
          <w:szCs w:val="30"/>
          <w:highlight w:val="none"/>
        </w:rPr>
      </w:pPr>
      <w:r>
        <w:rPr>
          <w:rFonts w:eastAsia="方正仿宋_GBK"/>
          <w:color w:val="auto"/>
          <w:sz w:val="30"/>
          <w:szCs w:val="30"/>
          <w:highlight w:val="none"/>
        </w:rPr>
        <w:t>到2035年，建成与基本实现社会主义现代化相匹配的楚雄现代化水网体系。建成以重大骨干工程为源头，以现代输配水系统为网络的供水安全体系；以提升供水保障能力、完善农村水利保障体系、提升防洪安全体系、强化水生态保护与修复为重点，加快水利枢纽建设；以输水工程为通道、控制性调蓄工程为节点、智慧化调控为手段，系统构建供水保障网、防洪保安网、幸福河湖网和智慧水利网。</w:t>
      </w:r>
    </w:p>
    <w:p w14:paraId="3A89F7CC">
      <w:pPr>
        <w:pStyle w:val="2"/>
        <w:rPr>
          <w:color w:val="auto"/>
          <w:highlight w:val="none"/>
          <w:lang w:eastAsia="zh-CN"/>
        </w:rPr>
      </w:pPr>
    </w:p>
    <w:p w14:paraId="59F4194F">
      <w:pPr>
        <w:pStyle w:val="3"/>
        <w:ind w:firstLine="400"/>
        <w:rPr>
          <w:color w:val="auto"/>
          <w:highlight w:val="none"/>
        </w:rPr>
      </w:pPr>
    </w:p>
    <w:p w14:paraId="5EDBB8D1">
      <w:pPr>
        <w:pStyle w:val="11"/>
        <w:rPr>
          <w:color w:val="auto"/>
          <w:highlight w:val="none"/>
        </w:rPr>
      </w:pPr>
      <w:r>
        <w:rPr>
          <w:color w:val="auto"/>
          <w:highlight w:val="none"/>
        </w:rPr>
        <w:t>专栏</w:t>
      </w:r>
      <w:r>
        <w:rPr>
          <w:rFonts w:hint="eastAsia"/>
          <w:color w:val="auto"/>
          <w:highlight w:val="none"/>
          <w:lang w:val="en-US" w:eastAsia="zh-CN"/>
        </w:rPr>
        <w:t>14</w:t>
      </w:r>
      <w:r>
        <w:rPr>
          <w:color w:val="auto"/>
          <w:highlight w:val="none"/>
        </w:rPr>
        <w:t xml:space="preserve">  楚雄州水利枢纽建设指引</w:t>
      </w:r>
    </w:p>
    <w:tbl>
      <w:tblPr>
        <w:tblStyle w:val="32"/>
        <w:tblW w:w="9860" w:type="dxa"/>
        <w:jc w:val="center"/>
        <w:tblLayout w:type="autofit"/>
        <w:tblCellMar>
          <w:top w:w="0" w:type="dxa"/>
          <w:left w:w="108" w:type="dxa"/>
          <w:bottom w:w="0" w:type="dxa"/>
          <w:right w:w="108" w:type="dxa"/>
        </w:tblCellMar>
      </w:tblPr>
      <w:tblGrid>
        <w:gridCol w:w="1300"/>
        <w:gridCol w:w="8560"/>
      </w:tblGrid>
      <w:tr w14:paraId="19EFB933">
        <w:tblPrEx>
          <w:tblCellMar>
            <w:top w:w="0" w:type="dxa"/>
            <w:left w:w="108" w:type="dxa"/>
            <w:bottom w:w="0" w:type="dxa"/>
            <w:right w:w="108" w:type="dxa"/>
          </w:tblCellMar>
        </w:tblPrEx>
        <w:trPr>
          <w:trHeight w:val="270" w:hRule="atLeast"/>
          <w:tblHeader/>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E4E15F9">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工程类型</w:t>
            </w:r>
          </w:p>
        </w:tc>
        <w:tc>
          <w:tcPr>
            <w:tcW w:w="8560" w:type="dxa"/>
            <w:tcBorders>
              <w:top w:val="single" w:color="auto" w:sz="4" w:space="0"/>
              <w:left w:val="nil"/>
              <w:bottom w:val="single" w:color="auto" w:sz="4" w:space="0"/>
              <w:right w:val="single" w:color="auto" w:sz="4" w:space="0"/>
            </w:tcBorders>
            <w:shd w:val="clear" w:color="auto" w:fill="auto"/>
            <w:vAlign w:val="center"/>
          </w:tcPr>
          <w:p w14:paraId="04ADC87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发展指引</w:t>
            </w:r>
          </w:p>
        </w:tc>
      </w:tr>
      <w:tr w14:paraId="77659AC6">
        <w:tblPrEx>
          <w:tblCellMar>
            <w:top w:w="0" w:type="dxa"/>
            <w:left w:w="108" w:type="dxa"/>
            <w:bottom w:w="0" w:type="dxa"/>
            <w:right w:w="108" w:type="dxa"/>
          </w:tblCellMar>
        </w:tblPrEx>
        <w:trPr>
          <w:trHeight w:val="2366"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14:paraId="1CA08FB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供水保障能力建设项目</w:t>
            </w:r>
          </w:p>
        </w:tc>
        <w:tc>
          <w:tcPr>
            <w:tcW w:w="8560" w:type="dxa"/>
            <w:tcBorders>
              <w:top w:val="nil"/>
              <w:left w:val="nil"/>
              <w:bottom w:val="single" w:color="auto" w:sz="4" w:space="0"/>
              <w:right w:val="single" w:color="auto" w:sz="4" w:space="0"/>
            </w:tcBorders>
            <w:shd w:val="clear" w:color="auto" w:fill="auto"/>
            <w:vAlign w:val="center"/>
          </w:tcPr>
          <w:p w14:paraId="56B5AC61">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1.大型水库建设。新建牟定小石门大（2）型水库，扩建楚雄九龙甸、禄丰东河等2座中型水库为大（2）型水库。</w:t>
            </w:r>
          </w:p>
          <w:p w14:paraId="12A2E3BA">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2.中型水库建设。续建永仁直苴、南华小箐河、大姚桂花、双柏白水河、楚雄白衣河、武定志黑等6座中型水库，新建楚雄中石坝（扩建）、禄丰罗申河、牟定定远河、楚雄马龙河、楚雄上本、双柏大河边、永仁大血厂（扩建）、永仁老屋基、大姚妙峰（扩建）、大姚盐丰、武定咪书拉、姚安撇槽河、元谋依壁河、南华葫芦口、元谋羊街河、双柏他此河等16座中型水库。</w:t>
            </w:r>
          </w:p>
          <w:p w14:paraId="0E070BEC">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3.小型水库建设。续建牟定小土锅箐、永仁中山、姚安大跃进（扩建）等17座小（1）型水库；新建禄丰响水河、元谋龙街河、牟定大力歪等50座小（1）型水库。</w:t>
            </w:r>
          </w:p>
          <w:p w14:paraId="3F611CCC">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4.引调水工程。推进滇中引水工程楚雄州二期工程和</w:t>
            </w:r>
            <w:r>
              <w:rPr>
                <w:rFonts w:hint="eastAsia" w:eastAsia="方正仿宋_GBK"/>
                <w:color w:val="auto"/>
                <w:sz w:val="24"/>
                <w:szCs w:val="24"/>
                <w:highlight w:val="none"/>
              </w:rPr>
              <w:t>不管河（礼社江）引水工程</w:t>
            </w:r>
            <w:r>
              <w:rPr>
                <w:rFonts w:eastAsia="方正仿宋_GBK"/>
                <w:color w:val="auto"/>
                <w:sz w:val="24"/>
                <w:szCs w:val="24"/>
                <w:highlight w:val="none"/>
              </w:rPr>
              <w:t>。力争开工建设姚安县渔泡江跨流域引水工程、麻柳水库至丙令水库连通工程等94件河库水系连通工程。开展金沙江水资源配置工程前期论证工作。</w:t>
            </w:r>
          </w:p>
          <w:p w14:paraId="0B9AA391">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5.水库清淤。力争实施21座中型水库、114座小（1）型水库、278座小（2）型水库清淤。</w:t>
            </w:r>
          </w:p>
          <w:p w14:paraId="4681A2E7">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6.应急备用水源建设。力争开工建设25件城市备用水源工程项目。</w:t>
            </w:r>
          </w:p>
          <w:p w14:paraId="76535EB7">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7.节水型社会建设。继续推进县域节水型社会达标建设。</w:t>
            </w:r>
          </w:p>
        </w:tc>
      </w:tr>
      <w:tr w14:paraId="3526664D">
        <w:tblPrEx>
          <w:tblCellMar>
            <w:top w:w="0" w:type="dxa"/>
            <w:left w:w="108" w:type="dxa"/>
            <w:bottom w:w="0" w:type="dxa"/>
            <w:right w:w="108" w:type="dxa"/>
          </w:tblCellMar>
        </w:tblPrEx>
        <w:trPr>
          <w:trHeight w:val="1350"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14:paraId="0FEF875B">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农村水利建设项目</w:t>
            </w:r>
          </w:p>
        </w:tc>
        <w:tc>
          <w:tcPr>
            <w:tcW w:w="8560" w:type="dxa"/>
            <w:tcBorders>
              <w:top w:val="nil"/>
              <w:left w:val="nil"/>
              <w:bottom w:val="single" w:color="auto" w:sz="4" w:space="0"/>
              <w:right w:val="single" w:color="auto" w:sz="4" w:space="0"/>
            </w:tcBorders>
            <w:shd w:val="clear" w:color="auto" w:fill="auto"/>
            <w:vAlign w:val="center"/>
          </w:tcPr>
          <w:p w14:paraId="73287769">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1.农村供水。实施农村供水保障工程998处，新增覆盖人口81.8万人，管网配套16611公里。</w:t>
            </w:r>
          </w:p>
          <w:p w14:paraId="7279F0AD">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2.灌区建设及续建配套与现代化改造。加快推进永仁、绿汁江大型灌区建设，开展蜻蛉河大型灌区和元谋大型灌区续建配套与现代化改造。力争开展楚雄市子午中型灌区、双柏县绿汁江中型灌区等11处中型灌区续建配套与节水改造。</w:t>
            </w:r>
          </w:p>
          <w:p w14:paraId="4B130EAA">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3.山区小水网建设。力争开工建设123件山区小水网工程。</w:t>
            </w:r>
          </w:p>
        </w:tc>
      </w:tr>
      <w:tr w14:paraId="777B5569">
        <w:tblPrEx>
          <w:tblCellMar>
            <w:top w:w="0" w:type="dxa"/>
            <w:left w:w="108" w:type="dxa"/>
            <w:bottom w:w="0" w:type="dxa"/>
            <w:right w:w="108" w:type="dxa"/>
          </w:tblCellMar>
        </w:tblPrEx>
        <w:trPr>
          <w:trHeight w:val="524"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14:paraId="1D2F69F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防洪提升工程建设项目</w:t>
            </w:r>
          </w:p>
        </w:tc>
        <w:tc>
          <w:tcPr>
            <w:tcW w:w="8560" w:type="dxa"/>
            <w:tcBorders>
              <w:top w:val="nil"/>
              <w:left w:val="nil"/>
              <w:bottom w:val="single" w:color="auto" w:sz="4" w:space="0"/>
              <w:right w:val="single" w:color="auto" w:sz="4" w:space="0"/>
            </w:tcBorders>
            <w:shd w:val="clear" w:color="auto" w:fill="auto"/>
            <w:vAlign w:val="center"/>
          </w:tcPr>
          <w:p w14:paraId="3F0037D0">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1.大江大河主要支流治理。开展流域面积3000平方千米以上、防洪任务较重、保护对象重要的大江大河主要支流综合治理。力争开工建设龙川江妥安段河道治理工程等10段重要江河支流治理项目，河道治理长度107公里。</w:t>
            </w:r>
          </w:p>
          <w:p w14:paraId="066A0AAC">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2.中小河流治理。力争开工建设97段，共计530公里。</w:t>
            </w:r>
          </w:p>
          <w:p w14:paraId="2D280F60">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3.山洪沟防治。力争开工建设70段，共计464公里。</w:t>
            </w:r>
          </w:p>
          <w:p w14:paraId="74E293C3">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4.病险水库水闸加固。力争完成7座中型病险水库、53座中型水闸和155座小型病险水库除险加固。</w:t>
            </w:r>
          </w:p>
          <w:p w14:paraId="334BA164">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5.城市防洪排涝工程。加快完善城市防洪排涝设施，力争开工建设10县（市）城区防洪排涝综合整治工程。</w:t>
            </w:r>
          </w:p>
        </w:tc>
      </w:tr>
      <w:tr w14:paraId="79D17602">
        <w:tblPrEx>
          <w:tblCellMar>
            <w:top w:w="0" w:type="dxa"/>
            <w:left w:w="108" w:type="dxa"/>
            <w:bottom w:w="0" w:type="dxa"/>
            <w:right w:w="108" w:type="dxa"/>
          </w:tblCellMar>
        </w:tblPrEx>
        <w:trPr>
          <w:trHeight w:val="377"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14:paraId="5188A66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水生态保护与修复建设项目</w:t>
            </w:r>
          </w:p>
        </w:tc>
        <w:tc>
          <w:tcPr>
            <w:tcW w:w="8560" w:type="dxa"/>
            <w:tcBorders>
              <w:top w:val="nil"/>
              <w:left w:val="nil"/>
              <w:bottom w:val="single" w:color="auto" w:sz="4" w:space="0"/>
              <w:right w:val="single" w:color="auto" w:sz="4" w:space="0"/>
            </w:tcBorders>
            <w:shd w:val="clear" w:color="auto" w:fill="auto"/>
            <w:vAlign w:val="center"/>
          </w:tcPr>
          <w:p w14:paraId="0265015C">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1.水土保持生态建设。加大重点区域水土保持生态建设，开展金沙江中下游水土流失治理、礼社江水土流失治理、生态屏障带水土流失治理等重点项目，治理面积655平方千米。</w:t>
            </w:r>
          </w:p>
          <w:p w14:paraId="77F1D985">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2.水生态保护与修复。以流域为单元，加快推进江河库水生态保护与修复。力争开工洋派水库、青山嘴水库水生态综合治理项目等61件水生态保护与修复工程。</w:t>
            </w:r>
          </w:p>
          <w:p w14:paraId="1432BEE1">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3.水系连通及水美乡村建设。有序开展10县（市）水系连通及水美乡村建设。</w:t>
            </w:r>
          </w:p>
        </w:tc>
      </w:tr>
      <w:tr w14:paraId="3894CF72">
        <w:tblPrEx>
          <w:tblCellMar>
            <w:top w:w="0" w:type="dxa"/>
            <w:left w:w="108" w:type="dxa"/>
            <w:bottom w:w="0" w:type="dxa"/>
            <w:right w:w="108" w:type="dxa"/>
          </w:tblCellMar>
        </w:tblPrEx>
        <w:trPr>
          <w:trHeight w:val="2700"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14:paraId="73A9145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智慧水利网建设项目</w:t>
            </w:r>
          </w:p>
        </w:tc>
        <w:tc>
          <w:tcPr>
            <w:tcW w:w="8560" w:type="dxa"/>
            <w:tcBorders>
              <w:top w:val="nil"/>
              <w:left w:val="nil"/>
              <w:bottom w:val="single" w:color="auto" w:sz="4" w:space="0"/>
              <w:right w:val="single" w:color="auto" w:sz="4" w:space="0"/>
            </w:tcBorders>
            <w:shd w:val="clear" w:color="auto" w:fill="auto"/>
            <w:vAlign w:val="center"/>
          </w:tcPr>
          <w:p w14:paraId="387F8536">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1.水利监测体系建设。完善水文监测和信息化基础设施，建设17个地下水监测站、4个生态流量监测站及哀牢山清泉流实验站。建设水库安全运行监测系统，有序开展小型水库雨水情测报和大坝安全监测设施建设工作。建设大中型灌区量测水设施。建设县级农村供水管理调度终端。</w:t>
            </w:r>
          </w:p>
          <w:p w14:paraId="0F263679">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2.水利信息网络建设。实施全州水利信息网络及视频会商系统等水利信息化基础设施改造和建设。推进5G、北斗卫星、商业遥感卫星水利业务应用，升级改造网络核心设备，全面支持IPv6。</w:t>
            </w:r>
          </w:p>
          <w:p w14:paraId="480468DE">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3.水旱灾害防御非工程措施建设。开展山洪灾害调查评价。建设重点城市楚雄、元谋、姚安、武定、禄丰水情预警服务站。推进试点建设全州中小型水库洪水预报预警系统。建设40个墒情监测站。开展防汛抢险技术支撑专家队伍和能力建设，建设完善抢险支撑体系。</w:t>
            </w:r>
          </w:p>
          <w:p w14:paraId="6C37ED3B">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4.水利业务应用建设。建设水利智能支撑云平台、综合管理应用系统。实施蜻蛉河大型灌区等数字灌区建设，建设小石门水库安全运行管理系统。</w:t>
            </w:r>
          </w:p>
        </w:tc>
      </w:tr>
    </w:tbl>
    <w:p w14:paraId="3FE7082E">
      <w:pPr>
        <w:pStyle w:val="6"/>
        <w:rPr>
          <w:color w:val="auto"/>
          <w:highlight w:val="none"/>
        </w:rPr>
      </w:pPr>
      <w:bookmarkStart w:id="234" w:name="_Toc28079"/>
      <w:bookmarkStart w:id="235" w:name="_Toc73380447"/>
      <w:bookmarkStart w:id="236" w:name="_Toc79510747"/>
      <w:r>
        <w:rPr>
          <w:color w:val="auto"/>
          <w:highlight w:val="none"/>
        </w:rPr>
        <w:t>三、</w:t>
      </w:r>
      <w:r>
        <w:rPr>
          <w:rFonts w:hint="eastAsia"/>
          <w:color w:val="auto"/>
          <w:highlight w:val="none"/>
        </w:rPr>
        <w:t>加</w:t>
      </w:r>
      <w:r>
        <w:rPr>
          <w:color w:val="auto"/>
          <w:highlight w:val="none"/>
        </w:rPr>
        <w:t xml:space="preserve">快推进重点防洪减灾工程建设 </w:t>
      </w:r>
    </w:p>
    <w:p w14:paraId="1D31964B">
      <w:pPr>
        <w:ind w:firstLine="600"/>
        <w:rPr>
          <w:rFonts w:eastAsia="方正仿宋_GBK"/>
          <w:color w:val="auto"/>
          <w:sz w:val="30"/>
          <w:szCs w:val="30"/>
          <w:highlight w:val="none"/>
        </w:rPr>
      </w:pPr>
      <w:r>
        <w:rPr>
          <w:rFonts w:eastAsia="方正仿宋_GBK"/>
          <w:color w:val="auto"/>
          <w:sz w:val="30"/>
          <w:szCs w:val="30"/>
          <w:highlight w:val="none"/>
        </w:rPr>
        <w:t>加快大江大河主要支流治理，提高抵御洪涝灾害的能力。扩大中小河流治理实施范围，明显提高县城和农村地区的防洪能力。加大重点山洪沟防洪治理力度，加快非工程措施补充完善和重点山洪沟治理工程建设。加快实施病险水库、水闸除险加固，消除安全隐患，恢复病险水利设施供水、防洪等功能效益。提升城市防洪排涝能力，重点加强楚雄西片区、元谋县城、牟定县城等涝区防洪治理。以干旱易发区、粮食主产区等为重点，因地制宜建设一批中小型水库，有效应对特殊干旱年供需水矛盾。</w:t>
      </w:r>
    </w:p>
    <w:p w14:paraId="125F7CF6">
      <w:pPr>
        <w:pStyle w:val="6"/>
        <w:rPr>
          <w:color w:val="auto"/>
          <w:highlight w:val="none"/>
        </w:rPr>
      </w:pPr>
      <w:r>
        <w:rPr>
          <w:color w:val="auto"/>
          <w:highlight w:val="none"/>
        </w:rPr>
        <w:t>四、</w:t>
      </w:r>
      <w:r>
        <w:rPr>
          <w:rFonts w:hint="eastAsia"/>
          <w:color w:val="auto"/>
          <w:highlight w:val="none"/>
        </w:rPr>
        <w:t>大</w:t>
      </w:r>
      <w:r>
        <w:rPr>
          <w:color w:val="auto"/>
          <w:highlight w:val="none"/>
        </w:rPr>
        <w:t xml:space="preserve">力推进水生态修复和建设工程 </w:t>
      </w:r>
    </w:p>
    <w:p w14:paraId="7449A84E">
      <w:pPr>
        <w:ind w:firstLine="600"/>
        <w:rPr>
          <w:rFonts w:eastAsia="方正仿宋_GBK"/>
          <w:color w:val="auto"/>
          <w:sz w:val="30"/>
          <w:szCs w:val="30"/>
          <w:highlight w:val="none"/>
        </w:rPr>
      </w:pPr>
      <w:r>
        <w:rPr>
          <w:rFonts w:eastAsia="方正仿宋_GBK"/>
          <w:color w:val="auto"/>
          <w:sz w:val="30"/>
          <w:szCs w:val="30"/>
          <w:highlight w:val="none"/>
        </w:rPr>
        <w:t>加快推进水生态文明建设，确保水质水量有保障、河湖水域不萎缩、生态功能不衰减、水生态环境质量明显改善，打造山青、水净、河畅、岸绿的美好家园。推进重点区域水土流失治理，加快坡耕地综合整治和生态清洁小流域建设。以流域为单元，加快推进江河库水生态保护与修复，通过</w:t>
      </w:r>
      <w:r>
        <w:rPr>
          <w:rFonts w:hint="eastAsia" w:eastAsia="方正仿宋_GBK"/>
          <w:color w:val="auto"/>
          <w:sz w:val="30"/>
          <w:szCs w:val="30"/>
          <w:highlight w:val="none"/>
        </w:rPr>
        <w:t>植树造林</w:t>
      </w:r>
      <w:r>
        <w:rPr>
          <w:rFonts w:eastAsia="方正仿宋_GBK"/>
          <w:color w:val="auto"/>
          <w:sz w:val="30"/>
          <w:szCs w:val="30"/>
          <w:highlight w:val="none"/>
        </w:rPr>
        <w:t>、封育保护、水源涵养等措施，加强河库保护。实施河道水生态保护、河湖连通、截污治污、清淤疏浚、生物控制、生态调度、自然修复，恢复河湖的基本水力联系，保障基本生态流量，重点保护龙川江、绿汁江、青山湖、查姆湖等重点生态功能水体。</w:t>
      </w:r>
    </w:p>
    <w:p w14:paraId="48CAA85B">
      <w:pPr>
        <w:pStyle w:val="5"/>
        <w:rPr>
          <w:rFonts w:eastAsia="方正黑体简体"/>
          <w:color w:val="auto"/>
          <w:highlight w:val="none"/>
        </w:rPr>
      </w:pPr>
      <w:bookmarkStart w:id="237" w:name="_Toc131433354"/>
      <w:bookmarkStart w:id="238" w:name="_Toc184639402"/>
      <w:bookmarkStart w:id="239" w:name="_Toc131433188"/>
      <w:r>
        <w:rPr>
          <w:color w:val="auto"/>
          <w:highlight w:val="none"/>
        </w:rPr>
        <w:t>第三节</w:t>
      </w:r>
      <w:r>
        <w:rPr>
          <w:rFonts w:hint="eastAsia" w:eastAsia="方正黑体简体"/>
          <w:color w:val="auto"/>
          <w:highlight w:val="none"/>
        </w:rPr>
        <w:t xml:space="preserve"> </w:t>
      </w:r>
      <w:r>
        <w:rPr>
          <w:color w:val="auto"/>
          <w:highlight w:val="none"/>
        </w:rPr>
        <w:t>统筹能矿资源保障体系</w:t>
      </w:r>
      <w:bookmarkEnd w:id="234"/>
      <w:bookmarkEnd w:id="235"/>
      <w:bookmarkEnd w:id="236"/>
      <w:bookmarkEnd w:id="237"/>
      <w:bookmarkEnd w:id="238"/>
      <w:bookmarkEnd w:id="239"/>
    </w:p>
    <w:p w14:paraId="21A973D1">
      <w:pPr>
        <w:pStyle w:val="6"/>
        <w:rPr>
          <w:color w:val="auto"/>
          <w:highlight w:val="none"/>
        </w:rPr>
      </w:pPr>
      <w:bookmarkStart w:id="240" w:name="_Toc79510748"/>
      <w:r>
        <w:rPr>
          <w:color w:val="auto"/>
          <w:highlight w:val="none"/>
        </w:rPr>
        <w:t>一、促进能源供应体系网络化</w:t>
      </w:r>
      <w:bookmarkEnd w:id="240"/>
    </w:p>
    <w:p w14:paraId="7CCCDAB6">
      <w:pPr>
        <w:ind w:firstLine="600"/>
        <w:rPr>
          <w:rFonts w:eastAsia="方正仿宋_GBK"/>
          <w:color w:val="auto"/>
          <w:sz w:val="30"/>
          <w:szCs w:val="30"/>
          <w:highlight w:val="none"/>
        </w:rPr>
      </w:pPr>
      <w:r>
        <w:rPr>
          <w:rFonts w:hint="eastAsia" w:eastAsia="方正仿宋_GBK"/>
          <w:color w:val="auto"/>
          <w:sz w:val="30"/>
          <w:szCs w:val="30"/>
          <w:highlight w:val="none"/>
        </w:rPr>
        <w:t>打造“风光水储”一体化清洁能源基地；国家西南能源管道重要节点、辐射西南区域天然气网络通道；国家西电东送战略大通道、云南电力交换枢纽，建成以新能源为主体的新型电力系统。</w:t>
      </w:r>
    </w:p>
    <w:p w14:paraId="59EF6463">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（一）电源基础设施布局</w:t>
      </w:r>
    </w:p>
    <w:p w14:paraId="4FEB15F0">
      <w:pPr>
        <w:ind w:firstLine="600"/>
        <w:rPr>
          <w:rFonts w:eastAsia="方正仿宋_GBK"/>
          <w:color w:val="auto"/>
          <w:sz w:val="30"/>
          <w:szCs w:val="30"/>
          <w:highlight w:val="none"/>
        </w:rPr>
      </w:pPr>
      <w:r>
        <w:rPr>
          <w:rFonts w:hint="eastAsia" w:eastAsia="方正仿宋_GBK"/>
          <w:color w:val="auto"/>
          <w:sz w:val="30"/>
          <w:szCs w:val="30"/>
          <w:highlight w:val="none"/>
        </w:rPr>
        <w:t>围绕云南省建成“国家清洁能源基地”发展思路，楚雄州将依托绿色能源资源优势，结合乌东德、观音岩等金沙江中下游大型水电站电力送出通道的区位优势，在金沙江下游、红河流域布局“风光水储”一体化清洁能源基地。统筹推进适应高比例新能源的多元化储能和调节性电源建设，在新能源开发及用电负荷密集区域推进布局电化学储能、压缩空气储能、氢储能等一批新型储能项目，推进实施禄丰、大姚、武定、永仁等一批抽水蓄能项目和楚雄、禄丰天然气发电项目，提高新能源送出消纳和源网荷储协同发展水平，加快构建新型电力系统和新型能源体系</w:t>
      </w:r>
      <w:r>
        <w:rPr>
          <w:rFonts w:eastAsia="方正仿宋_GBK"/>
          <w:color w:val="auto"/>
          <w:sz w:val="30"/>
          <w:szCs w:val="30"/>
          <w:highlight w:val="none"/>
        </w:rPr>
        <w:t>。</w:t>
      </w:r>
    </w:p>
    <w:p w14:paraId="08B56837">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（二）</w:t>
      </w:r>
      <w:r>
        <w:rPr>
          <w:rFonts w:ascii="方正仿宋_GBK" w:hAnsi="楷体" w:eastAsia="方正仿宋_GBK"/>
          <w:color w:val="auto"/>
          <w:sz w:val="30"/>
          <w:szCs w:val="30"/>
          <w:highlight w:val="none"/>
        </w:rPr>
        <w:t>电网基础设施布局</w:t>
      </w:r>
    </w:p>
    <w:p w14:paraId="326BB928">
      <w:pPr>
        <w:ind w:firstLine="600"/>
        <w:rPr>
          <w:rFonts w:eastAsia="方正仿宋_GBK"/>
          <w:color w:val="auto"/>
          <w:sz w:val="30"/>
          <w:szCs w:val="30"/>
          <w:highlight w:val="none"/>
        </w:rPr>
      </w:pPr>
      <w:r>
        <w:rPr>
          <w:rFonts w:hint="eastAsia" w:eastAsia="方正仿宋_GBK"/>
          <w:color w:val="auto"/>
          <w:sz w:val="30"/>
          <w:szCs w:val="30"/>
          <w:highlight w:val="none"/>
        </w:rPr>
        <w:t>持续加强西电东送大通道和地区输配电网建设，巩固全省电力交换重要枢纽地位，更好服务国家战略，提升能源电力保供水平。围绕经济社会发展和电力供给需求，推进实施35千伏、110千伏、220千伏、500千伏等新增变电站布点、改扩建、网架优化及新能源、大用户配套等相关项目，持续开展10千伏及以下配电网改造升级和巩固提升工程建设。配套推进电力相关生产及辅助用房项目建设，提升电力生产服务基础条件水平。加快建设数字电网，以数字化、绿色化支撑新型电力系统和新型能源体系</w:t>
      </w:r>
      <w:r>
        <w:rPr>
          <w:rFonts w:eastAsia="方正仿宋_GBK"/>
          <w:color w:val="auto"/>
          <w:sz w:val="30"/>
          <w:szCs w:val="30"/>
          <w:highlight w:val="none"/>
        </w:rPr>
        <w:t>。</w:t>
      </w:r>
    </w:p>
    <w:p w14:paraId="0642CB51">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w:t>
      </w:r>
      <w:r>
        <w:rPr>
          <w:rFonts w:hint="eastAsia" w:ascii="方正仿宋_GBK" w:hAnsi="楷体" w:eastAsia="方正仿宋_GBK"/>
          <w:color w:val="auto"/>
          <w:sz w:val="30"/>
          <w:szCs w:val="30"/>
          <w:highlight w:val="none"/>
          <w:lang w:val="en-US" w:eastAsia="zh-CN"/>
        </w:rPr>
        <w:t>三</w:t>
      </w:r>
      <w:r>
        <w:rPr>
          <w:rFonts w:hint="eastAsia" w:ascii="方正仿宋_GBK" w:hAnsi="楷体" w:eastAsia="方正仿宋_GBK"/>
          <w:color w:val="auto"/>
          <w:sz w:val="30"/>
          <w:szCs w:val="30"/>
          <w:highlight w:val="none"/>
        </w:rPr>
        <w:t>）</w:t>
      </w:r>
      <w:r>
        <w:rPr>
          <w:rFonts w:ascii="方正仿宋_GBK" w:hAnsi="楷体" w:eastAsia="方正仿宋_GBK"/>
          <w:color w:val="auto"/>
          <w:sz w:val="30"/>
          <w:szCs w:val="30"/>
          <w:highlight w:val="none"/>
        </w:rPr>
        <w:t>清洁能源设施布局</w:t>
      </w:r>
    </w:p>
    <w:p w14:paraId="4B7E87D1">
      <w:pPr>
        <w:ind w:firstLine="600"/>
        <w:rPr>
          <w:rFonts w:eastAsia="方正仿宋_GBK"/>
          <w:color w:val="auto"/>
          <w:sz w:val="30"/>
          <w:szCs w:val="30"/>
          <w:highlight w:val="none"/>
        </w:rPr>
      </w:pPr>
      <w:r>
        <w:rPr>
          <w:rFonts w:eastAsia="方正仿宋_GBK"/>
          <w:color w:val="auto"/>
          <w:sz w:val="30"/>
          <w:szCs w:val="30"/>
          <w:highlight w:val="none"/>
        </w:rPr>
        <w:t>围绕云南省</w:t>
      </w:r>
      <w:r>
        <w:rPr>
          <w:rFonts w:hint="eastAsia" w:eastAsia="方正仿宋_GBK"/>
          <w:color w:val="auto"/>
          <w:sz w:val="30"/>
          <w:szCs w:val="30"/>
          <w:highlight w:val="none"/>
        </w:rPr>
        <w:t>“</w:t>
      </w:r>
      <w:r>
        <w:rPr>
          <w:rFonts w:eastAsia="方正仿宋_GBK"/>
          <w:color w:val="auto"/>
          <w:sz w:val="30"/>
          <w:szCs w:val="30"/>
          <w:highlight w:val="none"/>
        </w:rPr>
        <w:t>推进绿色能源与绿色制造深度融合</w:t>
      </w:r>
      <w:r>
        <w:rPr>
          <w:rFonts w:hint="eastAsia" w:eastAsia="方正仿宋_GBK"/>
          <w:color w:val="auto"/>
          <w:sz w:val="30"/>
          <w:szCs w:val="30"/>
          <w:highlight w:val="none"/>
        </w:rPr>
        <w:t>”</w:t>
      </w:r>
      <w:r>
        <w:rPr>
          <w:rFonts w:eastAsia="方正仿宋_GBK"/>
          <w:color w:val="auto"/>
          <w:sz w:val="30"/>
          <w:szCs w:val="30"/>
          <w:highlight w:val="none"/>
        </w:rPr>
        <w:t>充分发挥州内水、风、光等绿色能源优势，结合楚雄州推进绿色硅、绿色钛、绿色铜等加工基地建设，推进绿色能源与绿色先进制造业的深度融合，将楚雄州打造成为</w:t>
      </w:r>
      <w:r>
        <w:rPr>
          <w:rFonts w:hint="eastAsia" w:eastAsia="方正仿宋_GBK"/>
          <w:color w:val="auto"/>
          <w:sz w:val="30"/>
          <w:szCs w:val="30"/>
          <w:highlight w:val="none"/>
        </w:rPr>
        <w:t>一流的</w:t>
      </w:r>
      <w:r>
        <w:rPr>
          <w:rFonts w:eastAsia="方正仿宋_GBK"/>
          <w:color w:val="auto"/>
          <w:sz w:val="30"/>
          <w:szCs w:val="30"/>
          <w:highlight w:val="none"/>
        </w:rPr>
        <w:t>绿色能源应用基地。</w:t>
      </w:r>
      <w:bookmarkStart w:id="241" w:name="_Hlk80377771"/>
    </w:p>
    <w:p w14:paraId="502D28E7">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w:t>
      </w:r>
      <w:r>
        <w:rPr>
          <w:rFonts w:hint="eastAsia" w:ascii="方正仿宋_GBK" w:hAnsi="楷体" w:eastAsia="方正仿宋_GBK"/>
          <w:color w:val="auto"/>
          <w:sz w:val="30"/>
          <w:szCs w:val="30"/>
          <w:highlight w:val="none"/>
          <w:lang w:val="en-US" w:eastAsia="zh-CN"/>
        </w:rPr>
        <w:t>四</w:t>
      </w:r>
      <w:r>
        <w:rPr>
          <w:rFonts w:hint="eastAsia" w:ascii="方正仿宋_GBK" w:hAnsi="楷体" w:eastAsia="方正仿宋_GBK"/>
          <w:color w:val="auto"/>
          <w:sz w:val="30"/>
          <w:szCs w:val="30"/>
          <w:highlight w:val="none"/>
        </w:rPr>
        <w:t>）煤炭资源布局</w:t>
      </w:r>
    </w:p>
    <w:p w14:paraId="6F8706CC">
      <w:pPr>
        <w:ind w:firstLine="600"/>
        <w:rPr>
          <w:rFonts w:hint="eastAsia" w:eastAsia="方正仿宋_GBK"/>
          <w:color w:val="auto"/>
          <w:sz w:val="30"/>
          <w:szCs w:val="30"/>
          <w:highlight w:val="none"/>
        </w:rPr>
      </w:pPr>
      <w:r>
        <w:rPr>
          <w:rFonts w:hint="eastAsia" w:eastAsia="方正仿宋_GBK"/>
          <w:color w:val="auto"/>
          <w:sz w:val="30"/>
          <w:szCs w:val="30"/>
          <w:highlight w:val="none"/>
        </w:rPr>
        <w:t>坚持合理布局、有序开发、规模生产、综合利用，进一步规范煤炭资源勘查开发秩序、优化配置煤炭资源。</w:t>
      </w:r>
    </w:p>
    <w:p w14:paraId="476C71DF">
      <w:pPr>
        <w:pStyle w:val="2"/>
      </w:pPr>
    </w:p>
    <w:bookmarkEnd w:id="241"/>
    <w:p w14:paraId="125D3C17">
      <w:pPr>
        <w:pStyle w:val="6"/>
        <w:rPr>
          <w:color w:val="auto"/>
          <w:highlight w:val="none"/>
        </w:rPr>
      </w:pPr>
      <w:bookmarkStart w:id="242" w:name="_Toc79510749"/>
      <w:r>
        <w:rPr>
          <w:color w:val="auto"/>
          <w:highlight w:val="none"/>
        </w:rPr>
        <w:t>二、统筹矿产资源勘查开发</w:t>
      </w:r>
      <w:bookmarkEnd w:id="242"/>
    </w:p>
    <w:p w14:paraId="1DD6E6AB">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（一）</w:t>
      </w:r>
      <w:r>
        <w:rPr>
          <w:rFonts w:ascii="方正仿宋_GBK" w:hAnsi="楷体" w:eastAsia="方正仿宋_GBK"/>
          <w:color w:val="auto"/>
          <w:sz w:val="30"/>
          <w:szCs w:val="30"/>
          <w:highlight w:val="none"/>
        </w:rPr>
        <w:t>明确勘查开采方向</w:t>
      </w:r>
    </w:p>
    <w:p w14:paraId="585BFD52">
      <w:pPr>
        <w:ind w:firstLine="600"/>
        <w:rPr>
          <w:rFonts w:eastAsia="方正仿宋_GBK"/>
          <w:color w:val="auto"/>
          <w:sz w:val="30"/>
          <w:szCs w:val="30"/>
          <w:highlight w:val="none"/>
        </w:rPr>
      </w:pPr>
      <w:r>
        <w:rPr>
          <w:rFonts w:hint="eastAsia" w:eastAsia="方正仿宋_GBK"/>
          <w:color w:val="auto"/>
          <w:sz w:val="30"/>
          <w:szCs w:val="30"/>
          <w:highlight w:val="none"/>
        </w:rPr>
        <w:t>以绿色勘查为方向，加强新技术新方法应用，实施勘查全过程环境影响最小化，降低对生态环境的影响。开展矿产资源地质潜力、开发技术经济条件和环境影响“三位一体”综合调查评价。重点勘查钒钛、煤、铁、铜、铅、锌、钼、金、银、稀土、硅石等矿种、兼顾锰、镍、晶质石墨等矿种。加快推进以页岩气、地热等清洁能源和稀土等新能源材料为主的矿产资源勘查。限制勘查蓝石棉及砂金、砂铁等重砂矿物。</w:t>
      </w:r>
    </w:p>
    <w:p w14:paraId="5C120C67">
      <w:pPr>
        <w:ind w:firstLine="600"/>
        <w:rPr>
          <w:rFonts w:eastAsia="方正仿宋_GBK"/>
          <w:color w:val="auto"/>
          <w:sz w:val="30"/>
          <w:szCs w:val="30"/>
          <w:highlight w:val="none"/>
        </w:rPr>
      </w:pPr>
      <w:r>
        <w:rPr>
          <w:rFonts w:eastAsia="方正仿宋_GBK"/>
          <w:color w:val="auto"/>
          <w:sz w:val="30"/>
          <w:szCs w:val="30"/>
          <w:highlight w:val="none"/>
        </w:rPr>
        <w:t>根据国家、省产业政策</w:t>
      </w:r>
      <w:r>
        <w:rPr>
          <w:rFonts w:hint="eastAsia" w:eastAsia="方正仿宋_GBK"/>
          <w:color w:val="auto"/>
          <w:sz w:val="30"/>
          <w:szCs w:val="30"/>
          <w:highlight w:val="none"/>
        </w:rPr>
        <w:t>，结合</w:t>
      </w:r>
      <w:r>
        <w:rPr>
          <w:rFonts w:eastAsia="方正仿宋_GBK"/>
          <w:color w:val="auto"/>
          <w:sz w:val="30"/>
          <w:szCs w:val="30"/>
          <w:highlight w:val="none"/>
        </w:rPr>
        <w:t>楚雄州矿产资源</w:t>
      </w:r>
      <w:r>
        <w:rPr>
          <w:rFonts w:hint="eastAsia" w:eastAsia="方正仿宋_GBK"/>
          <w:color w:val="auto"/>
          <w:sz w:val="30"/>
          <w:szCs w:val="30"/>
          <w:highlight w:val="none"/>
        </w:rPr>
        <w:t>禀赋</w:t>
      </w:r>
      <w:r>
        <w:rPr>
          <w:rFonts w:eastAsia="方正仿宋_GBK"/>
          <w:color w:val="auto"/>
          <w:sz w:val="30"/>
          <w:szCs w:val="30"/>
          <w:highlight w:val="none"/>
        </w:rPr>
        <w:t>，鼓励开采地热、铁、铜、铅、锌、金、银、镍、硅石矿等矿种。</w:t>
      </w:r>
      <w:r>
        <w:rPr>
          <w:rFonts w:hint="eastAsia" w:eastAsia="方正仿宋_GBK"/>
          <w:color w:val="auto"/>
          <w:sz w:val="30"/>
          <w:szCs w:val="30"/>
          <w:highlight w:val="none"/>
        </w:rPr>
        <w:t>限制开采高硫、高灰、高砷、高氟煤炭和湿地泥炭，以及砂金、砂铁等重砂矿物。禁止开采砷蓝石棉、可耕地的砖瓦用粘土和泥炭沼泽湿地中的泥炭等矿产</w:t>
      </w:r>
      <w:r>
        <w:rPr>
          <w:rFonts w:eastAsia="方正仿宋_GBK"/>
          <w:color w:val="auto"/>
          <w:sz w:val="30"/>
          <w:szCs w:val="30"/>
          <w:highlight w:val="none"/>
        </w:rPr>
        <w:t>。</w:t>
      </w:r>
    </w:p>
    <w:p w14:paraId="3B72AE8C">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（二）</w:t>
      </w:r>
      <w:r>
        <w:rPr>
          <w:rFonts w:ascii="方正仿宋_GBK" w:hAnsi="楷体" w:eastAsia="方正仿宋_GBK"/>
          <w:color w:val="auto"/>
          <w:sz w:val="30"/>
          <w:szCs w:val="30"/>
          <w:highlight w:val="none"/>
        </w:rPr>
        <w:t>布局国家规划矿区</w:t>
      </w:r>
    </w:p>
    <w:p w14:paraId="399F169D">
      <w:pPr>
        <w:ind w:firstLine="600"/>
        <w:rPr>
          <w:rFonts w:eastAsia="方正仿宋_GBK"/>
          <w:color w:val="auto"/>
          <w:sz w:val="30"/>
          <w:szCs w:val="30"/>
          <w:highlight w:val="none"/>
        </w:rPr>
      </w:pPr>
      <w:r>
        <w:rPr>
          <w:rFonts w:eastAsia="方正仿宋_GBK"/>
          <w:color w:val="auto"/>
          <w:sz w:val="30"/>
          <w:szCs w:val="30"/>
          <w:highlight w:val="none"/>
        </w:rPr>
        <w:t>楚雄州落实上级规划的2个国家规划矿区，分别是弥渡金宝山</w:t>
      </w:r>
      <w:r>
        <w:rPr>
          <w:rFonts w:hint="eastAsia" w:eastAsia="方正仿宋_GBK"/>
          <w:color w:val="auto"/>
          <w:sz w:val="30"/>
          <w:szCs w:val="30"/>
          <w:highlight w:val="none"/>
        </w:rPr>
        <w:t>－</w:t>
      </w:r>
      <w:r>
        <w:rPr>
          <w:rFonts w:eastAsia="方正仿宋_GBK"/>
          <w:color w:val="auto"/>
          <w:sz w:val="30"/>
          <w:szCs w:val="30"/>
          <w:highlight w:val="none"/>
        </w:rPr>
        <w:t>小水井金矿国家规划矿区（位于楚雄市中山镇、新村镇和南华县五顶山乡、马街镇）和武定鱼子甸铁矿国家规划矿区（位于武定县狮山镇），总面积177.10平方千米。</w:t>
      </w:r>
    </w:p>
    <w:p w14:paraId="27335223">
      <w:pPr>
        <w:ind w:firstLine="0" w:firstLineChars="0"/>
        <w:rPr>
          <w:rFonts w:ascii="方正仿宋_GBK" w:hAnsi="楷体" w:eastAsia="方正仿宋_GBK"/>
          <w:color w:val="auto"/>
          <w:sz w:val="30"/>
          <w:szCs w:val="30"/>
          <w:highlight w:val="none"/>
        </w:rPr>
      </w:pPr>
      <w:r>
        <w:rPr>
          <w:rFonts w:hint="eastAsia" w:ascii="方正仿宋_GBK" w:hAnsi="楷体" w:eastAsia="方正仿宋_GBK"/>
          <w:color w:val="auto"/>
          <w:sz w:val="30"/>
          <w:szCs w:val="30"/>
          <w:highlight w:val="none"/>
        </w:rPr>
        <w:t>（三）</w:t>
      </w:r>
      <w:r>
        <w:rPr>
          <w:rFonts w:ascii="方正仿宋_GBK" w:hAnsi="楷体" w:eastAsia="方正仿宋_GBK"/>
          <w:color w:val="auto"/>
          <w:sz w:val="30"/>
          <w:szCs w:val="30"/>
          <w:highlight w:val="none"/>
        </w:rPr>
        <w:t>明确矿产资源重点发展区域</w:t>
      </w:r>
    </w:p>
    <w:p w14:paraId="76E2DF07">
      <w:pPr>
        <w:ind w:firstLine="600"/>
        <w:rPr>
          <w:color w:val="auto"/>
          <w:sz w:val="30"/>
          <w:szCs w:val="30"/>
          <w:highlight w:val="none"/>
        </w:rPr>
      </w:pPr>
      <w:r>
        <w:rPr>
          <w:rFonts w:eastAsia="方正仿宋_GBK"/>
          <w:color w:val="auto"/>
          <w:sz w:val="30"/>
          <w:szCs w:val="30"/>
          <w:highlight w:val="none"/>
        </w:rPr>
        <w:t>楚雄州勘查开发区域布局划分为四大区域：永仁—大姚—姚安—牟定</w:t>
      </w:r>
      <w:r>
        <w:rPr>
          <w:rFonts w:hint="eastAsia" w:eastAsia="方正仿宋_GBK"/>
          <w:color w:val="auto"/>
          <w:sz w:val="30"/>
          <w:szCs w:val="30"/>
          <w:highlight w:val="none"/>
        </w:rPr>
        <w:t>铜铅多</w:t>
      </w:r>
      <w:r>
        <w:rPr>
          <w:rFonts w:eastAsia="方正仿宋_GBK"/>
          <w:color w:val="auto"/>
          <w:sz w:val="30"/>
          <w:szCs w:val="30"/>
          <w:highlight w:val="none"/>
        </w:rPr>
        <w:t>金属重点勘查开发区、南华—楚雄</w:t>
      </w:r>
      <w:r>
        <w:rPr>
          <w:rFonts w:hint="eastAsia" w:eastAsia="方正仿宋_GBK"/>
          <w:color w:val="auto"/>
          <w:sz w:val="30"/>
          <w:szCs w:val="30"/>
          <w:highlight w:val="none"/>
        </w:rPr>
        <w:t>—双柏</w:t>
      </w:r>
      <w:r>
        <w:rPr>
          <w:rFonts w:eastAsia="方正仿宋_GBK"/>
          <w:color w:val="auto"/>
          <w:sz w:val="30"/>
          <w:szCs w:val="30"/>
          <w:highlight w:val="none"/>
        </w:rPr>
        <w:t>铅锌煤金多金属勘查开发区、元谋—牟定铂钯钒钛铁硅石勘查开发区和武定—禄丰铁铜钛饰面用石材地热资源勘查开发区。</w:t>
      </w:r>
    </w:p>
    <w:p w14:paraId="78931955">
      <w:pPr>
        <w:pStyle w:val="11"/>
        <w:rPr>
          <w:color w:val="auto"/>
          <w:highlight w:val="none"/>
        </w:rPr>
      </w:pPr>
      <w:r>
        <w:rPr>
          <w:color w:val="auto"/>
          <w:highlight w:val="none"/>
        </w:rPr>
        <w:t>专栏</w:t>
      </w:r>
      <w:r>
        <w:rPr>
          <w:rFonts w:hint="eastAsia"/>
          <w:color w:val="auto"/>
          <w:highlight w:val="none"/>
          <w:lang w:val="en-US" w:eastAsia="zh-CN"/>
        </w:rPr>
        <w:t>15</w:t>
      </w:r>
      <w:r>
        <w:rPr>
          <w:color w:val="auto"/>
          <w:highlight w:val="none"/>
        </w:rPr>
        <w:t xml:space="preserve">  楚雄州矿产资源重点发展区域</w:t>
      </w:r>
    </w:p>
    <w:tbl>
      <w:tblPr>
        <w:tblStyle w:val="32"/>
        <w:tblW w:w="0" w:type="auto"/>
        <w:jc w:val="center"/>
        <w:tblLayout w:type="autofit"/>
        <w:tblCellMar>
          <w:top w:w="0" w:type="dxa"/>
          <w:left w:w="108" w:type="dxa"/>
          <w:bottom w:w="0" w:type="dxa"/>
          <w:right w:w="108" w:type="dxa"/>
        </w:tblCellMar>
      </w:tblPr>
      <w:tblGrid>
        <w:gridCol w:w="3572"/>
        <w:gridCol w:w="2851"/>
        <w:gridCol w:w="2411"/>
      </w:tblGrid>
      <w:tr w14:paraId="3D186BF5">
        <w:tblPrEx>
          <w:tblCellMar>
            <w:top w:w="0" w:type="dxa"/>
            <w:left w:w="108" w:type="dxa"/>
            <w:bottom w:w="0" w:type="dxa"/>
            <w:right w:w="108" w:type="dxa"/>
          </w:tblCellMar>
        </w:tblPrEx>
        <w:trPr>
          <w:trHeight w:val="270"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3FD395">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矿产资源重点发展区域</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1A4BEC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分布区域</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838260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重点矿产资源</w:t>
            </w:r>
          </w:p>
        </w:tc>
      </w:tr>
      <w:tr w14:paraId="66D2069D">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CF2686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永仁—大姚—姚安—牟定</w:t>
            </w:r>
            <w:r>
              <w:rPr>
                <w:rFonts w:hint="eastAsia" w:eastAsia="方正仿宋_GBK"/>
                <w:color w:val="auto"/>
                <w:sz w:val="24"/>
                <w:szCs w:val="24"/>
                <w:highlight w:val="none"/>
              </w:rPr>
              <w:t>铜铅多</w:t>
            </w:r>
            <w:r>
              <w:rPr>
                <w:rFonts w:eastAsia="方正仿宋_GBK"/>
                <w:color w:val="auto"/>
                <w:sz w:val="24"/>
                <w:szCs w:val="24"/>
                <w:highlight w:val="none"/>
              </w:rPr>
              <w:t>金属重点勘查开发区</w:t>
            </w:r>
          </w:p>
        </w:tc>
        <w:tc>
          <w:tcPr>
            <w:tcW w:w="0" w:type="auto"/>
            <w:tcBorders>
              <w:top w:val="nil"/>
              <w:left w:val="nil"/>
              <w:bottom w:val="single" w:color="auto" w:sz="4" w:space="0"/>
              <w:right w:val="single" w:color="auto" w:sz="4" w:space="0"/>
            </w:tcBorders>
            <w:shd w:val="clear" w:color="auto" w:fill="auto"/>
            <w:noWrap/>
            <w:vAlign w:val="center"/>
          </w:tcPr>
          <w:p w14:paraId="2A9CEFF2">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永仁、大姚、姚安全境及牟定大部分区域</w:t>
            </w:r>
          </w:p>
        </w:tc>
        <w:tc>
          <w:tcPr>
            <w:tcW w:w="0" w:type="auto"/>
            <w:tcBorders>
              <w:top w:val="nil"/>
              <w:left w:val="nil"/>
              <w:bottom w:val="single" w:color="auto" w:sz="4" w:space="0"/>
              <w:right w:val="single" w:color="auto" w:sz="4" w:space="0"/>
            </w:tcBorders>
            <w:shd w:val="clear" w:color="auto" w:fill="auto"/>
            <w:noWrap/>
            <w:vAlign w:val="center"/>
          </w:tcPr>
          <w:p w14:paraId="61ADE25D">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铜、钛、铅等</w:t>
            </w:r>
          </w:p>
        </w:tc>
      </w:tr>
      <w:tr w14:paraId="5FAD65A4">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54A66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南华—楚雄—双柏</w:t>
            </w:r>
            <w:r>
              <w:rPr>
                <w:rFonts w:hint="eastAsia" w:eastAsia="方正仿宋_GBK"/>
                <w:color w:val="auto"/>
                <w:sz w:val="24"/>
                <w:szCs w:val="24"/>
                <w:highlight w:val="none"/>
              </w:rPr>
              <w:t>铅锌煤金多</w:t>
            </w:r>
            <w:r>
              <w:rPr>
                <w:rFonts w:eastAsia="方正仿宋_GBK"/>
                <w:color w:val="auto"/>
                <w:sz w:val="24"/>
                <w:szCs w:val="24"/>
                <w:highlight w:val="none"/>
              </w:rPr>
              <w:t>金属勘查开发区</w:t>
            </w:r>
          </w:p>
        </w:tc>
        <w:tc>
          <w:tcPr>
            <w:tcW w:w="0" w:type="auto"/>
            <w:tcBorders>
              <w:top w:val="nil"/>
              <w:left w:val="nil"/>
              <w:bottom w:val="single" w:color="auto" w:sz="4" w:space="0"/>
              <w:right w:val="single" w:color="auto" w:sz="4" w:space="0"/>
            </w:tcBorders>
            <w:shd w:val="clear" w:color="auto" w:fill="auto"/>
            <w:noWrap/>
            <w:vAlign w:val="center"/>
          </w:tcPr>
          <w:p w14:paraId="2480907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南华、楚雄、双柏</w:t>
            </w:r>
          </w:p>
        </w:tc>
        <w:tc>
          <w:tcPr>
            <w:tcW w:w="0" w:type="auto"/>
            <w:tcBorders>
              <w:top w:val="nil"/>
              <w:left w:val="nil"/>
              <w:bottom w:val="single" w:color="auto" w:sz="4" w:space="0"/>
              <w:right w:val="single" w:color="auto" w:sz="4" w:space="0"/>
            </w:tcBorders>
            <w:shd w:val="clear" w:color="auto" w:fill="auto"/>
            <w:noWrap/>
            <w:vAlign w:val="center"/>
          </w:tcPr>
          <w:p w14:paraId="7331FC6A">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煤炭、金、铅、锌等</w:t>
            </w:r>
          </w:p>
        </w:tc>
      </w:tr>
      <w:tr w14:paraId="2AC9C00B">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213D9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元谋—牟定铂钯</w:t>
            </w:r>
            <w:r>
              <w:rPr>
                <w:rFonts w:hint="eastAsia" w:eastAsia="方正仿宋_GBK"/>
                <w:color w:val="auto"/>
                <w:sz w:val="24"/>
                <w:szCs w:val="24"/>
                <w:highlight w:val="none"/>
              </w:rPr>
              <w:t>钒钛铁硅石</w:t>
            </w:r>
            <w:r>
              <w:rPr>
                <w:rFonts w:eastAsia="方正仿宋_GBK"/>
                <w:color w:val="auto"/>
                <w:sz w:val="24"/>
                <w:szCs w:val="24"/>
                <w:highlight w:val="none"/>
              </w:rPr>
              <w:t>勘查开发区</w:t>
            </w:r>
          </w:p>
        </w:tc>
        <w:tc>
          <w:tcPr>
            <w:tcW w:w="0" w:type="auto"/>
            <w:tcBorders>
              <w:top w:val="nil"/>
              <w:left w:val="nil"/>
              <w:bottom w:val="single" w:color="auto" w:sz="4" w:space="0"/>
              <w:right w:val="single" w:color="auto" w:sz="4" w:space="0"/>
            </w:tcBorders>
            <w:shd w:val="clear" w:color="auto" w:fill="auto"/>
            <w:noWrap/>
            <w:vAlign w:val="center"/>
          </w:tcPr>
          <w:p w14:paraId="08448AB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元谋、牟定北部</w:t>
            </w:r>
          </w:p>
        </w:tc>
        <w:tc>
          <w:tcPr>
            <w:tcW w:w="0" w:type="auto"/>
            <w:tcBorders>
              <w:top w:val="nil"/>
              <w:left w:val="nil"/>
              <w:bottom w:val="single" w:color="auto" w:sz="4" w:space="0"/>
              <w:right w:val="single" w:color="auto" w:sz="4" w:space="0"/>
            </w:tcBorders>
            <w:shd w:val="clear" w:color="auto" w:fill="auto"/>
            <w:noWrap/>
            <w:vAlign w:val="center"/>
          </w:tcPr>
          <w:p w14:paraId="488B8067">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铁、铂钯矿、钒钛</w:t>
            </w:r>
            <w:r>
              <w:rPr>
                <w:rFonts w:hint="eastAsia" w:eastAsia="方正仿宋_GBK"/>
                <w:color w:val="auto"/>
                <w:sz w:val="24"/>
                <w:szCs w:val="24"/>
                <w:highlight w:val="none"/>
              </w:rPr>
              <w:t>、</w:t>
            </w:r>
            <w:r>
              <w:rPr>
                <w:rFonts w:eastAsia="方正仿宋_GBK"/>
                <w:color w:val="auto"/>
                <w:sz w:val="24"/>
                <w:szCs w:val="24"/>
                <w:highlight w:val="none"/>
              </w:rPr>
              <w:t>稀土、石墨等</w:t>
            </w:r>
          </w:p>
        </w:tc>
      </w:tr>
      <w:tr w14:paraId="0903B133">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D92A8F">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武定—禄丰铁铜钛饰面</w:t>
            </w:r>
            <w:r>
              <w:rPr>
                <w:rFonts w:hint="eastAsia" w:eastAsia="方正仿宋_GBK"/>
                <w:color w:val="auto"/>
                <w:sz w:val="24"/>
                <w:szCs w:val="24"/>
                <w:highlight w:val="none"/>
              </w:rPr>
              <w:t>用</w:t>
            </w:r>
            <w:r>
              <w:rPr>
                <w:rFonts w:eastAsia="方正仿宋_GBK"/>
                <w:color w:val="auto"/>
                <w:sz w:val="24"/>
                <w:szCs w:val="24"/>
                <w:highlight w:val="none"/>
              </w:rPr>
              <w:t>石材</w:t>
            </w:r>
            <w:r>
              <w:rPr>
                <w:rFonts w:hint="eastAsia" w:eastAsia="方正仿宋_GBK"/>
                <w:color w:val="auto"/>
                <w:sz w:val="24"/>
                <w:szCs w:val="24"/>
                <w:highlight w:val="none"/>
              </w:rPr>
              <w:t>地热资源</w:t>
            </w:r>
            <w:r>
              <w:rPr>
                <w:rFonts w:eastAsia="方正仿宋_GBK"/>
                <w:color w:val="auto"/>
                <w:sz w:val="24"/>
                <w:szCs w:val="24"/>
                <w:highlight w:val="none"/>
              </w:rPr>
              <w:t>勘查开发区</w:t>
            </w:r>
          </w:p>
        </w:tc>
        <w:tc>
          <w:tcPr>
            <w:tcW w:w="0" w:type="auto"/>
            <w:tcBorders>
              <w:top w:val="nil"/>
              <w:left w:val="nil"/>
              <w:bottom w:val="single" w:color="auto" w:sz="4" w:space="0"/>
              <w:right w:val="single" w:color="auto" w:sz="4" w:space="0"/>
            </w:tcBorders>
            <w:shd w:val="clear" w:color="auto" w:fill="auto"/>
            <w:noWrap/>
            <w:vAlign w:val="center"/>
          </w:tcPr>
          <w:p w14:paraId="5E426B24">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武定、禄丰</w:t>
            </w:r>
          </w:p>
        </w:tc>
        <w:tc>
          <w:tcPr>
            <w:tcW w:w="0" w:type="auto"/>
            <w:tcBorders>
              <w:top w:val="nil"/>
              <w:left w:val="nil"/>
              <w:bottom w:val="single" w:color="auto" w:sz="4" w:space="0"/>
              <w:right w:val="single" w:color="auto" w:sz="4" w:space="0"/>
            </w:tcBorders>
            <w:shd w:val="clear" w:color="auto" w:fill="auto"/>
            <w:noWrap/>
            <w:vAlign w:val="center"/>
          </w:tcPr>
          <w:p w14:paraId="351530F3">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饰面用石材、铁、钛、铜等</w:t>
            </w:r>
          </w:p>
        </w:tc>
      </w:tr>
    </w:tbl>
    <w:p w14:paraId="6DB1999D">
      <w:pPr>
        <w:pStyle w:val="5"/>
        <w:rPr>
          <w:rFonts w:eastAsia="方正黑体简体"/>
          <w:color w:val="auto"/>
          <w:highlight w:val="none"/>
        </w:rPr>
      </w:pPr>
      <w:bookmarkStart w:id="243" w:name="_Toc24406"/>
      <w:bookmarkStart w:id="244" w:name="_Toc131433356"/>
      <w:bookmarkStart w:id="245" w:name="_Toc184639403"/>
      <w:bookmarkStart w:id="246" w:name="_Toc131433190"/>
      <w:bookmarkStart w:id="247" w:name="_Toc11414"/>
      <w:bookmarkStart w:id="248" w:name="_Toc131433355"/>
      <w:bookmarkStart w:id="249" w:name="_Toc131433189"/>
      <w:r>
        <w:rPr>
          <w:color w:val="auto"/>
          <w:highlight w:val="none"/>
        </w:rPr>
        <w:t>第</w:t>
      </w:r>
      <w:r>
        <w:rPr>
          <w:rFonts w:hint="eastAsia"/>
          <w:color w:val="auto"/>
          <w:highlight w:val="none"/>
        </w:rPr>
        <w:t>四</w:t>
      </w:r>
      <w:r>
        <w:rPr>
          <w:color w:val="auto"/>
          <w:highlight w:val="none"/>
        </w:rPr>
        <w:t>节</w:t>
      </w:r>
      <w:r>
        <w:rPr>
          <w:rFonts w:hint="eastAsia" w:eastAsia="方正黑体简体"/>
          <w:color w:val="auto"/>
          <w:highlight w:val="none"/>
        </w:rPr>
        <w:t xml:space="preserve"> </w:t>
      </w:r>
      <w:r>
        <w:rPr>
          <w:color w:val="auto"/>
          <w:highlight w:val="none"/>
        </w:rPr>
        <w:t>发力新基建推进</w:t>
      </w:r>
      <w:r>
        <w:rPr>
          <w:rFonts w:hint="eastAsia" w:ascii="仿宋_GB2312" w:eastAsia="仿宋_GB2312"/>
          <w:color w:val="auto"/>
          <w:highlight w:val="none"/>
        </w:rPr>
        <w:t>“</w:t>
      </w:r>
      <w:r>
        <w:rPr>
          <w:color w:val="auto"/>
          <w:highlight w:val="none"/>
        </w:rPr>
        <w:t>数字楚雄</w:t>
      </w:r>
      <w:r>
        <w:rPr>
          <w:rFonts w:hint="eastAsia" w:ascii="仿宋_GB2312" w:eastAsia="仿宋_GB2312"/>
          <w:color w:val="auto"/>
          <w:highlight w:val="none"/>
        </w:rPr>
        <w:t>”</w:t>
      </w:r>
      <w:r>
        <w:rPr>
          <w:color w:val="auto"/>
          <w:highlight w:val="none"/>
        </w:rPr>
        <w:t>建设</w:t>
      </w:r>
      <w:bookmarkEnd w:id="243"/>
      <w:bookmarkEnd w:id="244"/>
      <w:bookmarkEnd w:id="245"/>
      <w:bookmarkEnd w:id="246"/>
    </w:p>
    <w:p w14:paraId="515EFCB1">
      <w:pPr>
        <w:pStyle w:val="6"/>
        <w:rPr>
          <w:color w:val="auto"/>
          <w:highlight w:val="none"/>
        </w:rPr>
      </w:pPr>
      <w:bookmarkStart w:id="250" w:name="_Toc61533744"/>
      <w:r>
        <w:rPr>
          <w:color w:val="auto"/>
          <w:highlight w:val="none"/>
        </w:rPr>
        <w:t>一、加快信息通信网络基础设施建设</w:t>
      </w:r>
      <w:bookmarkEnd w:id="250"/>
    </w:p>
    <w:p w14:paraId="4410F86E">
      <w:pPr>
        <w:ind w:firstLine="600"/>
        <w:rPr>
          <w:rFonts w:eastAsia="方正仿宋_GBK"/>
          <w:color w:val="auto"/>
          <w:sz w:val="30"/>
          <w:szCs w:val="30"/>
          <w:highlight w:val="none"/>
        </w:rPr>
      </w:pPr>
      <w:r>
        <w:rPr>
          <w:rFonts w:eastAsia="方正仿宋_GBK"/>
          <w:color w:val="auto"/>
          <w:sz w:val="30"/>
          <w:szCs w:val="30"/>
          <w:highlight w:val="none"/>
        </w:rPr>
        <w:t>建设以光纤为主，卫星、微波为辅，三位一体的立体通信传输网络。</w:t>
      </w:r>
    </w:p>
    <w:p w14:paraId="5A175D8A">
      <w:pPr>
        <w:ind w:firstLine="600"/>
        <w:rPr>
          <w:rFonts w:eastAsia="方正仿宋_GBK"/>
          <w:color w:val="auto"/>
          <w:sz w:val="30"/>
          <w:szCs w:val="30"/>
          <w:highlight w:val="none"/>
        </w:rPr>
      </w:pPr>
      <w:r>
        <w:rPr>
          <w:rFonts w:eastAsia="方正仿宋_GBK"/>
          <w:color w:val="auto"/>
          <w:sz w:val="30"/>
          <w:szCs w:val="30"/>
          <w:highlight w:val="none"/>
        </w:rPr>
        <w:t>大力推进5G网络建设，提高5G通信网络覆盖范围和信号质量。</w:t>
      </w:r>
    </w:p>
    <w:p w14:paraId="4D6C5F35">
      <w:pPr>
        <w:ind w:firstLine="600"/>
        <w:rPr>
          <w:rFonts w:eastAsia="方正仿宋_GBK"/>
          <w:color w:val="auto"/>
          <w:sz w:val="30"/>
          <w:szCs w:val="30"/>
          <w:highlight w:val="none"/>
        </w:rPr>
      </w:pPr>
      <w:r>
        <w:rPr>
          <w:rFonts w:eastAsia="方正仿宋_GBK"/>
          <w:color w:val="auto"/>
          <w:sz w:val="30"/>
          <w:szCs w:val="30"/>
          <w:highlight w:val="none"/>
        </w:rPr>
        <w:t>推进面向南亚东南亚跨境通信传输网络建设，提升国际互联网数据传输能力和州际出口带宽能力。</w:t>
      </w:r>
    </w:p>
    <w:p w14:paraId="518D598E">
      <w:pPr>
        <w:ind w:firstLine="600"/>
        <w:rPr>
          <w:rFonts w:eastAsia="方正仿宋_GBK"/>
          <w:color w:val="auto"/>
          <w:sz w:val="30"/>
          <w:szCs w:val="30"/>
          <w:highlight w:val="none"/>
        </w:rPr>
      </w:pPr>
      <w:r>
        <w:rPr>
          <w:rFonts w:eastAsia="方正仿宋_GBK"/>
          <w:color w:val="auto"/>
          <w:sz w:val="30"/>
          <w:szCs w:val="30"/>
          <w:highlight w:val="none"/>
        </w:rPr>
        <w:t>加快应急通信基础设施建设。建成安全可靠、体系完备、多部门联动的应急通信系统；加强网络和信息安全基础设施建设，全面构建网络信息安全保障体系。</w:t>
      </w:r>
    </w:p>
    <w:p w14:paraId="23CEFA5C">
      <w:pPr>
        <w:pStyle w:val="2"/>
      </w:pPr>
    </w:p>
    <w:p w14:paraId="36B18C9B">
      <w:pPr>
        <w:pStyle w:val="6"/>
        <w:rPr>
          <w:color w:val="auto"/>
          <w:highlight w:val="none"/>
        </w:rPr>
      </w:pPr>
      <w:bookmarkStart w:id="251" w:name="_Toc61533745"/>
      <w:r>
        <w:rPr>
          <w:color w:val="auto"/>
          <w:highlight w:val="none"/>
        </w:rPr>
        <w:t>二、积极打造数字创新应用平台</w:t>
      </w:r>
      <w:bookmarkEnd w:id="251"/>
    </w:p>
    <w:p w14:paraId="546BDEFD">
      <w:pPr>
        <w:ind w:firstLine="600"/>
        <w:rPr>
          <w:rFonts w:eastAsia="方正仿宋_GBK"/>
          <w:color w:val="auto"/>
          <w:sz w:val="30"/>
          <w:szCs w:val="30"/>
          <w:highlight w:val="none"/>
        </w:rPr>
      </w:pPr>
      <w:r>
        <w:rPr>
          <w:rFonts w:eastAsia="方正仿宋_GBK"/>
          <w:color w:val="auto"/>
          <w:sz w:val="30"/>
          <w:szCs w:val="30"/>
          <w:highlight w:val="none"/>
        </w:rPr>
        <w:t>实施传统基础设施</w:t>
      </w:r>
      <w:r>
        <w:rPr>
          <w:rFonts w:hint="eastAsia" w:eastAsia="方正仿宋_GBK"/>
          <w:color w:val="auto"/>
          <w:sz w:val="30"/>
          <w:szCs w:val="30"/>
          <w:highlight w:val="none"/>
        </w:rPr>
        <w:t>“</w:t>
      </w:r>
      <w:r>
        <w:rPr>
          <w:rFonts w:eastAsia="方正仿宋_GBK"/>
          <w:color w:val="auto"/>
          <w:sz w:val="30"/>
          <w:szCs w:val="30"/>
          <w:highlight w:val="none"/>
        </w:rPr>
        <w:t>数字+</w:t>
      </w:r>
      <w:r>
        <w:rPr>
          <w:rFonts w:hint="eastAsia" w:eastAsia="方正仿宋_GBK"/>
          <w:color w:val="auto"/>
          <w:sz w:val="30"/>
          <w:szCs w:val="30"/>
          <w:highlight w:val="none"/>
        </w:rPr>
        <w:t>”“</w:t>
      </w:r>
      <w:r>
        <w:rPr>
          <w:rFonts w:eastAsia="方正仿宋_GBK"/>
          <w:color w:val="auto"/>
          <w:sz w:val="30"/>
          <w:szCs w:val="30"/>
          <w:highlight w:val="none"/>
        </w:rPr>
        <w:t>智能+</w:t>
      </w:r>
      <w:r>
        <w:rPr>
          <w:rFonts w:hint="eastAsia" w:eastAsia="方正仿宋_GBK"/>
          <w:color w:val="auto"/>
          <w:sz w:val="30"/>
          <w:szCs w:val="30"/>
          <w:highlight w:val="none"/>
        </w:rPr>
        <w:t>”</w:t>
      </w:r>
      <w:r>
        <w:rPr>
          <w:rFonts w:eastAsia="方正仿宋_GBK"/>
          <w:color w:val="auto"/>
          <w:sz w:val="30"/>
          <w:szCs w:val="30"/>
          <w:highlight w:val="none"/>
        </w:rPr>
        <w:t>升级行动，全面推进新基建赋能智慧民生、智慧治理、智慧生态。构建产业互联网平台体系。面向</w:t>
      </w:r>
      <w:r>
        <w:rPr>
          <w:rFonts w:hint="eastAsia" w:eastAsia="方正仿宋_GBK"/>
          <w:color w:val="auto"/>
          <w:sz w:val="30"/>
          <w:szCs w:val="30"/>
          <w:highlight w:val="none"/>
          <w:lang w:eastAsia="zh-CN"/>
        </w:rPr>
        <w:t>一二三产业</w:t>
      </w:r>
      <w:r>
        <w:rPr>
          <w:rFonts w:eastAsia="方正仿宋_GBK"/>
          <w:color w:val="auto"/>
          <w:sz w:val="30"/>
          <w:szCs w:val="30"/>
          <w:highlight w:val="none"/>
        </w:rPr>
        <w:t>各建成综合性、协同共享产业互联网平台，</w:t>
      </w:r>
      <w:r>
        <w:rPr>
          <w:rFonts w:hint="eastAsia" w:eastAsia="方正仿宋_GBK"/>
          <w:color w:val="auto"/>
          <w:sz w:val="30"/>
          <w:szCs w:val="30"/>
          <w:highlight w:val="none"/>
        </w:rPr>
        <w:t>包括农业互联网平台、工业互联网公共基础支撑平台、服务业综合互联网平台、国土空间数字化等平台建设</w:t>
      </w:r>
      <w:r>
        <w:rPr>
          <w:rFonts w:eastAsia="方正仿宋_GBK"/>
          <w:color w:val="auto"/>
          <w:sz w:val="30"/>
          <w:szCs w:val="30"/>
          <w:highlight w:val="none"/>
        </w:rPr>
        <w:t>。</w:t>
      </w:r>
    </w:p>
    <w:p w14:paraId="49567118">
      <w:pPr>
        <w:ind w:firstLine="600"/>
        <w:rPr>
          <w:rFonts w:eastAsia="方正仿宋_GBK"/>
          <w:color w:val="auto"/>
          <w:sz w:val="30"/>
          <w:szCs w:val="30"/>
          <w:highlight w:val="none"/>
        </w:rPr>
      </w:pPr>
      <w:r>
        <w:rPr>
          <w:rFonts w:eastAsia="方正仿宋_GBK"/>
          <w:color w:val="auto"/>
          <w:sz w:val="30"/>
          <w:szCs w:val="30"/>
          <w:highlight w:val="none"/>
        </w:rPr>
        <w:t>实施工业互联网标识解析节点建设工程，积极争取建设烟草、冶金、彝药、食品行业的工业互联网标识解析二级节点。加快建设</w:t>
      </w:r>
      <w:r>
        <w:rPr>
          <w:rFonts w:hint="eastAsia" w:eastAsia="方正仿宋_GBK"/>
          <w:color w:val="auto"/>
          <w:sz w:val="30"/>
          <w:szCs w:val="30"/>
          <w:highlight w:val="none"/>
        </w:rPr>
        <w:t>“</w:t>
      </w:r>
      <w:r>
        <w:rPr>
          <w:rFonts w:eastAsia="方正仿宋_GBK"/>
          <w:color w:val="auto"/>
          <w:sz w:val="30"/>
          <w:szCs w:val="30"/>
          <w:highlight w:val="none"/>
        </w:rPr>
        <w:t>楚雄云</w:t>
      </w:r>
      <w:r>
        <w:rPr>
          <w:rFonts w:hint="eastAsia" w:eastAsia="方正仿宋_GBK"/>
          <w:color w:val="auto"/>
          <w:sz w:val="30"/>
          <w:szCs w:val="30"/>
          <w:highlight w:val="none"/>
        </w:rPr>
        <w:t>”</w:t>
      </w:r>
      <w:r>
        <w:rPr>
          <w:rFonts w:eastAsia="方正仿宋_GBK"/>
          <w:color w:val="auto"/>
          <w:sz w:val="30"/>
          <w:szCs w:val="30"/>
          <w:highlight w:val="none"/>
        </w:rPr>
        <w:t>数据中心，打造数据统一共享开放平台，建成</w:t>
      </w:r>
      <w:r>
        <w:rPr>
          <w:rFonts w:hint="eastAsia" w:eastAsia="方正仿宋_GBK"/>
          <w:color w:val="auto"/>
          <w:sz w:val="30"/>
          <w:szCs w:val="30"/>
          <w:highlight w:val="none"/>
        </w:rPr>
        <w:t>“</w:t>
      </w:r>
      <w:r>
        <w:rPr>
          <w:rFonts w:eastAsia="方正仿宋_GBK"/>
          <w:color w:val="auto"/>
          <w:sz w:val="30"/>
          <w:szCs w:val="30"/>
          <w:highlight w:val="none"/>
        </w:rPr>
        <w:t>立足楚雄、服务云南及周边地区、辐射南亚东南亚</w:t>
      </w:r>
      <w:r>
        <w:rPr>
          <w:rFonts w:hint="eastAsia" w:eastAsia="方正仿宋_GBK"/>
          <w:color w:val="auto"/>
          <w:sz w:val="30"/>
          <w:szCs w:val="30"/>
          <w:highlight w:val="none"/>
        </w:rPr>
        <w:t>”</w:t>
      </w:r>
      <w:r>
        <w:rPr>
          <w:rFonts w:eastAsia="方正仿宋_GBK"/>
          <w:color w:val="auto"/>
          <w:sz w:val="30"/>
          <w:szCs w:val="30"/>
          <w:highlight w:val="none"/>
        </w:rPr>
        <w:t>的格局。</w:t>
      </w:r>
    </w:p>
    <w:p w14:paraId="143D6FC0">
      <w:pPr>
        <w:ind w:firstLine="600"/>
        <w:rPr>
          <w:rFonts w:eastAsia="方正仿宋_GBK"/>
          <w:color w:val="auto"/>
          <w:sz w:val="30"/>
          <w:szCs w:val="30"/>
          <w:highlight w:val="none"/>
        </w:rPr>
      </w:pPr>
      <w:r>
        <w:rPr>
          <w:rFonts w:eastAsia="方正仿宋_GBK"/>
          <w:color w:val="auto"/>
          <w:sz w:val="30"/>
          <w:szCs w:val="30"/>
          <w:highlight w:val="none"/>
        </w:rPr>
        <w:t>发展人工智能应用支撑平台。重点在旅游、能源、物流、先进制造、政务、公安、智慧城市、医疗、教育、交通等领域打造人工智能行业平台。</w:t>
      </w:r>
    </w:p>
    <w:p w14:paraId="13F4DDE9">
      <w:pPr>
        <w:pStyle w:val="6"/>
        <w:rPr>
          <w:color w:val="auto"/>
          <w:highlight w:val="none"/>
        </w:rPr>
      </w:pPr>
      <w:bookmarkStart w:id="252" w:name="_Toc61533746"/>
      <w:r>
        <w:rPr>
          <w:color w:val="auto"/>
          <w:highlight w:val="none"/>
        </w:rPr>
        <w:t>三、发力信息通信融合应用基础设施建设</w:t>
      </w:r>
      <w:bookmarkEnd w:id="252"/>
    </w:p>
    <w:p w14:paraId="33F20039">
      <w:pPr>
        <w:ind w:firstLine="600"/>
        <w:rPr>
          <w:rFonts w:eastAsia="方正仿宋_GBK"/>
          <w:color w:val="auto"/>
          <w:sz w:val="30"/>
          <w:szCs w:val="30"/>
          <w:highlight w:val="none"/>
        </w:rPr>
      </w:pPr>
      <w:r>
        <w:rPr>
          <w:rFonts w:eastAsia="方正仿宋_GBK"/>
          <w:color w:val="auto"/>
          <w:sz w:val="30"/>
          <w:szCs w:val="30"/>
          <w:highlight w:val="none"/>
        </w:rPr>
        <w:t>加快5G技术融合应用，积极推进</w:t>
      </w:r>
      <w:r>
        <w:rPr>
          <w:rFonts w:hint="eastAsia" w:eastAsia="方正仿宋_GBK"/>
          <w:color w:val="auto"/>
          <w:sz w:val="30"/>
          <w:szCs w:val="30"/>
          <w:highlight w:val="none"/>
        </w:rPr>
        <w:t>“</w:t>
      </w:r>
      <w:r>
        <w:rPr>
          <w:rFonts w:eastAsia="方正仿宋_GBK"/>
          <w:color w:val="auto"/>
          <w:sz w:val="30"/>
          <w:szCs w:val="30"/>
          <w:highlight w:val="none"/>
        </w:rPr>
        <w:t>5G+</w:t>
      </w:r>
      <w:r>
        <w:rPr>
          <w:rFonts w:hint="eastAsia" w:eastAsia="方正仿宋_GBK"/>
          <w:color w:val="auto"/>
          <w:sz w:val="30"/>
          <w:szCs w:val="30"/>
          <w:highlight w:val="none"/>
        </w:rPr>
        <w:t>”</w:t>
      </w:r>
      <w:r>
        <w:rPr>
          <w:rFonts w:eastAsia="方正仿宋_GBK"/>
          <w:color w:val="auto"/>
          <w:sz w:val="30"/>
          <w:szCs w:val="30"/>
          <w:highlight w:val="none"/>
        </w:rPr>
        <w:t>应用示范，推动5G在民生服务、社会治理和各行各业融合应用，推进5G应用与特色小镇、美丽县城深度融合。持续推进高水平物联网建设，积极推进</w:t>
      </w:r>
      <w:r>
        <w:rPr>
          <w:rFonts w:hint="eastAsia" w:eastAsia="方正仿宋_GBK"/>
          <w:color w:val="auto"/>
          <w:sz w:val="30"/>
          <w:szCs w:val="30"/>
          <w:highlight w:val="none"/>
        </w:rPr>
        <w:t>“</w:t>
      </w:r>
      <w:r>
        <w:rPr>
          <w:rFonts w:eastAsia="方正仿宋_GBK"/>
          <w:color w:val="auto"/>
          <w:sz w:val="30"/>
          <w:szCs w:val="30"/>
          <w:highlight w:val="none"/>
        </w:rPr>
        <w:t>北斗+</w:t>
      </w:r>
      <w:r>
        <w:rPr>
          <w:rFonts w:hint="eastAsia" w:eastAsia="方正仿宋_GBK"/>
          <w:color w:val="auto"/>
          <w:sz w:val="30"/>
          <w:szCs w:val="30"/>
          <w:highlight w:val="none"/>
        </w:rPr>
        <w:t>”</w:t>
      </w:r>
      <w:r>
        <w:rPr>
          <w:rFonts w:eastAsia="方正仿宋_GBK"/>
          <w:color w:val="auto"/>
          <w:sz w:val="30"/>
          <w:szCs w:val="30"/>
          <w:highlight w:val="none"/>
        </w:rPr>
        <w:t>和</w:t>
      </w:r>
      <w:r>
        <w:rPr>
          <w:rFonts w:hint="eastAsia" w:eastAsia="方正仿宋_GBK"/>
          <w:color w:val="auto"/>
          <w:sz w:val="30"/>
          <w:szCs w:val="30"/>
          <w:highlight w:val="none"/>
        </w:rPr>
        <w:t>“</w:t>
      </w:r>
      <w:r>
        <w:rPr>
          <w:rFonts w:eastAsia="方正仿宋_GBK"/>
          <w:color w:val="auto"/>
          <w:sz w:val="30"/>
          <w:szCs w:val="30"/>
          <w:highlight w:val="none"/>
        </w:rPr>
        <w:t>+北斗</w:t>
      </w:r>
      <w:r>
        <w:rPr>
          <w:rFonts w:hint="eastAsia" w:eastAsia="方正仿宋_GBK"/>
          <w:color w:val="auto"/>
          <w:sz w:val="30"/>
          <w:szCs w:val="30"/>
          <w:highlight w:val="none"/>
        </w:rPr>
        <w:t>”</w:t>
      </w:r>
      <w:r>
        <w:rPr>
          <w:rFonts w:eastAsia="方正仿宋_GBK"/>
          <w:color w:val="auto"/>
          <w:sz w:val="30"/>
          <w:szCs w:val="30"/>
          <w:highlight w:val="none"/>
        </w:rPr>
        <w:t>应用。</w:t>
      </w:r>
    </w:p>
    <w:p w14:paraId="65FF569B">
      <w:pPr>
        <w:pStyle w:val="6"/>
        <w:rPr>
          <w:color w:val="auto"/>
          <w:highlight w:val="none"/>
        </w:rPr>
      </w:pPr>
      <w:bookmarkStart w:id="253" w:name="_Toc61533747"/>
      <w:r>
        <w:rPr>
          <w:color w:val="auto"/>
          <w:highlight w:val="none"/>
        </w:rPr>
        <w:t>四、强化信息通信基础设施</w:t>
      </w:r>
      <w:bookmarkEnd w:id="253"/>
      <w:r>
        <w:rPr>
          <w:color w:val="auto"/>
          <w:highlight w:val="none"/>
        </w:rPr>
        <w:t>建设</w:t>
      </w:r>
    </w:p>
    <w:p w14:paraId="0FAA7897">
      <w:pPr>
        <w:ind w:firstLine="600"/>
        <w:rPr>
          <w:rFonts w:eastAsia="方正仿宋_GBK"/>
          <w:color w:val="auto"/>
          <w:sz w:val="30"/>
          <w:szCs w:val="30"/>
          <w:highlight w:val="none"/>
        </w:rPr>
      </w:pPr>
      <w:r>
        <w:rPr>
          <w:rFonts w:eastAsia="方正仿宋_GBK"/>
          <w:color w:val="auto"/>
          <w:sz w:val="30"/>
          <w:szCs w:val="30"/>
          <w:highlight w:val="none"/>
        </w:rPr>
        <w:t>加强信息通信基础设施的共建共享，服务</w:t>
      </w:r>
      <w:r>
        <w:rPr>
          <w:rFonts w:hint="eastAsia" w:eastAsia="方正仿宋_GBK"/>
          <w:color w:val="auto"/>
          <w:sz w:val="30"/>
          <w:szCs w:val="30"/>
          <w:highlight w:val="none"/>
        </w:rPr>
        <w:t>“</w:t>
      </w:r>
      <w:r>
        <w:rPr>
          <w:rFonts w:eastAsia="方正仿宋_GBK"/>
          <w:color w:val="auto"/>
          <w:sz w:val="30"/>
          <w:szCs w:val="30"/>
          <w:highlight w:val="none"/>
        </w:rPr>
        <w:t>数字楚雄</w:t>
      </w:r>
      <w:r>
        <w:rPr>
          <w:rFonts w:hint="eastAsia" w:eastAsia="方正仿宋_GBK"/>
          <w:color w:val="auto"/>
          <w:sz w:val="30"/>
          <w:szCs w:val="30"/>
          <w:highlight w:val="none"/>
        </w:rPr>
        <w:t>”</w:t>
      </w:r>
      <w:r>
        <w:rPr>
          <w:rFonts w:eastAsia="方正仿宋_GBK"/>
          <w:color w:val="auto"/>
          <w:sz w:val="30"/>
          <w:szCs w:val="30"/>
          <w:highlight w:val="none"/>
        </w:rPr>
        <w:t>建设。深入落实通信报建工作，加快建设千兆城市。</w:t>
      </w:r>
    </w:p>
    <w:p w14:paraId="065A785C">
      <w:pPr>
        <w:pStyle w:val="2"/>
      </w:pPr>
    </w:p>
    <w:p w14:paraId="19E0EB23">
      <w:pPr>
        <w:pStyle w:val="11"/>
        <w:rPr>
          <w:color w:val="auto"/>
          <w:highlight w:val="none"/>
        </w:rPr>
      </w:pPr>
      <w:r>
        <w:rPr>
          <w:color w:val="auto"/>
          <w:highlight w:val="none"/>
        </w:rPr>
        <w:t>专栏</w:t>
      </w:r>
      <w:r>
        <w:rPr>
          <w:rFonts w:hint="eastAsia"/>
          <w:color w:val="auto"/>
          <w:highlight w:val="none"/>
          <w:lang w:val="en-US" w:eastAsia="zh-CN"/>
        </w:rPr>
        <w:t>16</w:t>
      </w:r>
      <w:r>
        <w:rPr>
          <w:color w:val="auto"/>
          <w:highlight w:val="none"/>
        </w:rPr>
        <w:t xml:space="preserve">  楚雄州</w:t>
      </w:r>
      <w:r>
        <w:rPr>
          <w:rFonts w:hint="eastAsia"/>
          <w:color w:val="auto"/>
          <w:highlight w:val="none"/>
        </w:rPr>
        <w:t>信息通信基础设施</w:t>
      </w:r>
      <w:r>
        <w:rPr>
          <w:color w:val="auto"/>
          <w:highlight w:val="none"/>
        </w:rPr>
        <w:t>发展指引</w:t>
      </w:r>
    </w:p>
    <w:tbl>
      <w:tblPr>
        <w:tblStyle w:val="3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313"/>
      </w:tblGrid>
      <w:tr w14:paraId="217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59" w:type="dxa"/>
            <w:vAlign w:val="center"/>
          </w:tcPr>
          <w:p w14:paraId="64A94C9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工程类型</w:t>
            </w:r>
          </w:p>
        </w:tc>
        <w:tc>
          <w:tcPr>
            <w:tcW w:w="7313" w:type="dxa"/>
            <w:vAlign w:val="center"/>
          </w:tcPr>
          <w:p w14:paraId="4DED3E5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发展指引</w:t>
            </w:r>
          </w:p>
        </w:tc>
      </w:tr>
      <w:tr w14:paraId="45AC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vAlign w:val="center"/>
          </w:tcPr>
          <w:p w14:paraId="031DFD31">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4G网络补盲提速工程</w:t>
            </w:r>
          </w:p>
        </w:tc>
        <w:tc>
          <w:tcPr>
            <w:tcW w:w="7313" w:type="dxa"/>
            <w:vAlign w:val="center"/>
          </w:tcPr>
          <w:p w14:paraId="3086FD32">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扩大4G网络覆盖广度和深度，实现全州所有自然村、A级以上景区游客集中区、高速公路和自驾游精品旅游线路、大滇西旅游环线等区域4G网络全覆盖。</w:t>
            </w:r>
          </w:p>
        </w:tc>
      </w:tr>
      <w:tr w14:paraId="325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vAlign w:val="center"/>
          </w:tcPr>
          <w:p w14:paraId="78D7139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5G网络建设和应用工程</w:t>
            </w:r>
          </w:p>
        </w:tc>
        <w:tc>
          <w:tcPr>
            <w:tcW w:w="7313" w:type="dxa"/>
            <w:vAlign w:val="center"/>
          </w:tcPr>
          <w:p w14:paraId="6E183969">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进一步加强与省级通信运营商的深度合作，推进落实5G应用发展相关合作。将5G基站站址、机房、管道、栏路和光缆线路、电力等配套设施纳入市政基础设施规划，推进5G网络及配套设施建设，持续提升网络覆盖能力。</w:t>
            </w:r>
          </w:p>
        </w:tc>
      </w:tr>
      <w:tr w14:paraId="5454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noWrap/>
            <w:vAlign w:val="center"/>
          </w:tcPr>
          <w:p w14:paraId="110546AC">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国际互联网专用通道建设工程</w:t>
            </w:r>
          </w:p>
        </w:tc>
        <w:tc>
          <w:tcPr>
            <w:tcW w:w="7313" w:type="dxa"/>
            <w:noWrap/>
            <w:vAlign w:val="center"/>
          </w:tcPr>
          <w:p w14:paraId="1274DF7F">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积极争取国家和省级支持，建设楚雄—昆明—南亚东南亚国家的光纤或专用通道，提升楚雄国际通信网络传输质量与效率，为楚雄跨境电子商务、跨境物流、国际软件与信息服务外包等产业发展提供支撑。</w:t>
            </w:r>
          </w:p>
          <w:p w14:paraId="28AEC8A8">
            <w:pPr>
              <w:pStyle w:val="56"/>
              <w:overflowPunct w:val="0"/>
              <w:adjustRightInd/>
              <w:snapToGrid/>
              <w:spacing w:line="360" w:lineRule="exact"/>
              <w:ind w:firstLine="0" w:firstLineChars="0"/>
              <w:jc w:val="left"/>
              <w:rPr>
                <w:rFonts w:eastAsia="方正仿宋_GBK"/>
                <w:color w:val="auto"/>
                <w:sz w:val="24"/>
                <w:szCs w:val="24"/>
                <w:highlight w:val="none"/>
              </w:rPr>
            </w:pPr>
            <w:r>
              <w:rPr>
                <w:rFonts w:hint="eastAsia" w:eastAsia="方正仿宋_GBK"/>
                <w:color w:val="auto"/>
                <w:sz w:val="24"/>
                <w:szCs w:val="24"/>
                <w:highlight w:val="none"/>
              </w:rPr>
              <w:t>“</w:t>
            </w:r>
            <w:r>
              <w:rPr>
                <w:rFonts w:eastAsia="方正仿宋_GBK"/>
                <w:color w:val="auto"/>
                <w:sz w:val="24"/>
                <w:szCs w:val="24"/>
                <w:highlight w:val="none"/>
              </w:rPr>
              <w:t>宽带楚雄</w:t>
            </w:r>
            <w:r>
              <w:rPr>
                <w:rFonts w:hint="eastAsia" w:eastAsia="方正仿宋_GBK"/>
                <w:color w:val="auto"/>
                <w:sz w:val="24"/>
                <w:szCs w:val="24"/>
                <w:highlight w:val="none"/>
              </w:rPr>
              <w:t>”</w:t>
            </w:r>
            <w:r>
              <w:rPr>
                <w:rFonts w:eastAsia="方正仿宋_GBK"/>
                <w:color w:val="auto"/>
                <w:sz w:val="24"/>
                <w:szCs w:val="24"/>
                <w:highlight w:val="none"/>
              </w:rPr>
              <w:t>工程。加快老旧小区光纤网络改造，新建城镇区域网络部署，消除自然村宽带网络接入</w:t>
            </w:r>
            <w:r>
              <w:rPr>
                <w:rFonts w:hint="eastAsia" w:eastAsia="方正仿宋_GBK"/>
                <w:color w:val="auto"/>
                <w:sz w:val="24"/>
                <w:szCs w:val="24"/>
                <w:highlight w:val="none"/>
              </w:rPr>
              <w:t>“</w:t>
            </w:r>
            <w:r>
              <w:rPr>
                <w:rFonts w:eastAsia="方正仿宋_GBK"/>
                <w:color w:val="auto"/>
                <w:sz w:val="24"/>
                <w:szCs w:val="24"/>
                <w:highlight w:val="none"/>
              </w:rPr>
              <w:t>最后一公里</w:t>
            </w:r>
            <w:r>
              <w:rPr>
                <w:rFonts w:hint="eastAsia" w:eastAsia="方正仿宋_GBK"/>
                <w:color w:val="auto"/>
                <w:sz w:val="24"/>
                <w:szCs w:val="24"/>
                <w:highlight w:val="none"/>
              </w:rPr>
              <w:t>”</w:t>
            </w:r>
            <w:r>
              <w:rPr>
                <w:rFonts w:eastAsia="方正仿宋_GBK"/>
                <w:color w:val="auto"/>
                <w:sz w:val="24"/>
                <w:szCs w:val="24"/>
                <w:highlight w:val="none"/>
              </w:rPr>
              <w:t>瓶颈，加快推进楚雄州</w:t>
            </w:r>
            <w:r>
              <w:rPr>
                <w:rFonts w:hint="eastAsia" w:eastAsia="方正仿宋_GBK"/>
                <w:color w:val="auto"/>
                <w:sz w:val="24"/>
                <w:szCs w:val="24"/>
                <w:highlight w:val="none"/>
              </w:rPr>
              <w:t>“</w:t>
            </w:r>
            <w:r>
              <w:rPr>
                <w:rFonts w:eastAsia="方正仿宋_GBK"/>
                <w:color w:val="auto"/>
                <w:sz w:val="24"/>
                <w:szCs w:val="24"/>
                <w:highlight w:val="none"/>
              </w:rPr>
              <w:t>千兆到楼到企、百兆入户进村</w:t>
            </w:r>
            <w:r>
              <w:rPr>
                <w:rFonts w:hint="eastAsia" w:eastAsia="方正仿宋_GBK"/>
                <w:color w:val="auto"/>
                <w:sz w:val="24"/>
                <w:szCs w:val="24"/>
                <w:highlight w:val="none"/>
              </w:rPr>
              <w:t>”</w:t>
            </w:r>
            <w:r>
              <w:rPr>
                <w:rFonts w:eastAsia="方正仿宋_GBK"/>
                <w:color w:val="auto"/>
                <w:sz w:val="24"/>
                <w:szCs w:val="24"/>
                <w:highlight w:val="none"/>
              </w:rPr>
              <w:t>建设。</w:t>
            </w:r>
          </w:p>
        </w:tc>
      </w:tr>
      <w:tr w14:paraId="77F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noWrap/>
            <w:vAlign w:val="center"/>
          </w:tcPr>
          <w:p w14:paraId="4AC08C7E">
            <w:pPr>
              <w:pStyle w:val="56"/>
              <w:overflowPunct w:val="0"/>
              <w:adjustRightInd/>
              <w:snapToGrid/>
              <w:spacing w:line="360" w:lineRule="exact"/>
              <w:ind w:firstLine="0" w:firstLineChars="0"/>
              <w:jc w:val="center"/>
              <w:rPr>
                <w:rFonts w:eastAsia="方正仿宋_GBK"/>
                <w:color w:val="auto"/>
                <w:sz w:val="24"/>
                <w:szCs w:val="24"/>
                <w:highlight w:val="none"/>
              </w:rPr>
            </w:pPr>
            <w:r>
              <w:rPr>
                <w:rFonts w:eastAsia="方正仿宋_GBK"/>
                <w:color w:val="auto"/>
                <w:sz w:val="24"/>
                <w:szCs w:val="24"/>
                <w:highlight w:val="none"/>
              </w:rPr>
              <w:t>国际互联网专用通道建设工程</w:t>
            </w:r>
          </w:p>
        </w:tc>
        <w:tc>
          <w:tcPr>
            <w:tcW w:w="7313" w:type="dxa"/>
            <w:noWrap/>
            <w:vAlign w:val="center"/>
          </w:tcPr>
          <w:p w14:paraId="57DA97D6">
            <w:pPr>
              <w:pStyle w:val="56"/>
              <w:overflowPunct w:val="0"/>
              <w:adjustRightInd/>
              <w:snapToGrid/>
              <w:spacing w:line="360" w:lineRule="exact"/>
              <w:ind w:firstLine="0" w:firstLineChars="0"/>
              <w:jc w:val="left"/>
              <w:rPr>
                <w:rFonts w:eastAsia="方正仿宋_GBK"/>
                <w:color w:val="auto"/>
                <w:sz w:val="24"/>
                <w:szCs w:val="24"/>
                <w:highlight w:val="none"/>
              </w:rPr>
            </w:pPr>
            <w:r>
              <w:rPr>
                <w:rFonts w:eastAsia="方正仿宋_GBK"/>
                <w:color w:val="auto"/>
                <w:sz w:val="24"/>
                <w:szCs w:val="24"/>
                <w:highlight w:val="none"/>
              </w:rPr>
              <w:t>加快推进标识解析体系应用，结合楚雄州差异化的特色优势，积极争取建设烟草、冶金、彝药、食品行业的工业互联网标识解析节点建设工程。</w:t>
            </w:r>
          </w:p>
        </w:tc>
      </w:tr>
    </w:tbl>
    <w:p w14:paraId="2C5ABDD1">
      <w:pPr>
        <w:pStyle w:val="5"/>
        <w:rPr>
          <w:color w:val="auto"/>
          <w:highlight w:val="none"/>
        </w:rPr>
      </w:pPr>
      <w:bookmarkStart w:id="254" w:name="_Toc184639404"/>
      <w:r>
        <w:rPr>
          <w:color w:val="auto"/>
          <w:highlight w:val="none"/>
        </w:rPr>
        <w:t>第五节</w:t>
      </w:r>
      <w:r>
        <w:rPr>
          <w:rFonts w:hint="eastAsia"/>
          <w:color w:val="auto"/>
          <w:highlight w:val="none"/>
        </w:rPr>
        <w:t xml:space="preserve"> 统筹协调</w:t>
      </w:r>
      <w:r>
        <w:rPr>
          <w:color w:val="auto"/>
          <w:highlight w:val="none"/>
        </w:rPr>
        <w:t>基础设施</w:t>
      </w:r>
      <w:r>
        <w:rPr>
          <w:rFonts w:hint="eastAsia"/>
          <w:color w:val="auto"/>
          <w:highlight w:val="none"/>
        </w:rPr>
        <w:t>空间布局</w:t>
      </w:r>
      <w:bookmarkEnd w:id="254"/>
    </w:p>
    <w:p w14:paraId="3030CA47">
      <w:pPr>
        <w:pStyle w:val="29"/>
        <w:overflowPunct w:val="0"/>
        <w:spacing w:beforeAutospacing="0" w:afterAutospacing="0" w:line="560" w:lineRule="exact"/>
        <w:ind w:firstLine="600" w:firstLineChars="200"/>
        <w:jc w:val="both"/>
        <w:rPr>
          <w:rFonts w:eastAsia="方正仿宋_GBK"/>
          <w:color w:val="auto"/>
          <w:kern w:val="2"/>
          <w:sz w:val="30"/>
          <w:szCs w:val="30"/>
          <w:highlight w:val="none"/>
        </w:rPr>
      </w:pPr>
      <w:r>
        <w:rPr>
          <w:rFonts w:hint="eastAsia" w:ascii="方正楷体_GBK" w:eastAsia="方正楷体_GBK"/>
          <w:color w:val="auto"/>
          <w:kern w:val="2"/>
          <w:sz w:val="30"/>
          <w:szCs w:val="30"/>
          <w:highlight w:val="none"/>
        </w:rPr>
        <w:t>推动建立重大基础设施廊道布局体系。</w:t>
      </w:r>
      <w:r>
        <w:rPr>
          <w:rFonts w:hint="eastAsia" w:eastAsia="方正仿宋_GBK"/>
          <w:color w:val="auto"/>
          <w:kern w:val="2"/>
          <w:sz w:val="30"/>
          <w:szCs w:val="30"/>
          <w:highlight w:val="none"/>
        </w:rPr>
        <w:t>统筹协调交通</w:t>
      </w:r>
      <w:r>
        <w:rPr>
          <w:rFonts w:eastAsia="方正仿宋_GBK"/>
          <w:color w:val="auto"/>
          <w:kern w:val="2"/>
          <w:sz w:val="30"/>
          <w:szCs w:val="30"/>
          <w:highlight w:val="none"/>
        </w:rPr>
        <w:t>、</w:t>
      </w:r>
      <w:r>
        <w:rPr>
          <w:rFonts w:hint="eastAsia" w:eastAsia="方正仿宋_GBK"/>
          <w:color w:val="auto"/>
          <w:kern w:val="2"/>
          <w:sz w:val="30"/>
          <w:szCs w:val="30"/>
          <w:highlight w:val="none"/>
        </w:rPr>
        <w:t>水利</w:t>
      </w:r>
      <w:r>
        <w:rPr>
          <w:rFonts w:eastAsia="方正仿宋_GBK"/>
          <w:color w:val="auto"/>
          <w:kern w:val="2"/>
          <w:sz w:val="30"/>
          <w:szCs w:val="30"/>
          <w:highlight w:val="none"/>
        </w:rPr>
        <w:t>、能源</w:t>
      </w:r>
      <w:r>
        <w:rPr>
          <w:rFonts w:hint="eastAsia" w:eastAsia="方正仿宋_GBK"/>
          <w:color w:val="auto"/>
          <w:kern w:val="2"/>
          <w:sz w:val="30"/>
          <w:szCs w:val="30"/>
          <w:highlight w:val="none"/>
        </w:rPr>
        <w:t>、环境、通信</w:t>
      </w:r>
      <w:r>
        <w:rPr>
          <w:rFonts w:eastAsia="方正仿宋_GBK"/>
          <w:color w:val="auto"/>
          <w:kern w:val="2"/>
          <w:sz w:val="30"/>
          <w:szCs w:val="30"/>
          <w:highlight w:val="none"/>
        </w:rPr>
        <w:t>等区域重大基础设施布局，综合考虑</w:t>
      </w:r>
      <w:r>
        <w:rPr>
          <w:rFonts w:hint="eastAsia" w:eastAsia="方正仿宋_GBK"/>
          <w:color w:val="auto"/>
          <w:kern w:val="2"/>
          <w:sz w:val="30"/>
          <w:szCs w:val="30"/>
          <w:highlight w:val="none"/>
        </w:rPr>
        <w:t>耕地保护、</w:t>
      </w:r>
      <w:r>
        <w:rPr>
          <w:rFonts w:eastAsia="方正仿宋_GBK"/>
          <w:color w:val="auto"/>
          <w:kern w:val="2"/>
          <w:sz w:val="30"/>
          <w:szCs w:val="30"/>
          <w:highlight w:val="none"/>
        </w:rPr>
        <w:t>生态保护、地质安全和城镇发展，编制基础设施廊道专项规划，建立全</w:t>
      </w:r>
      <w:r>
        <w:rPr>
          <w:rFonts w:hint="eastAsia" w:eastAsia="方正仿宋_GBK"/>
          <w:color w:val="auto"/>
          <w:kern w:val="2"/>
          <w:sz w:val="30"/>
          <w:szCs w:val="30"/>
          <w:highlight w:val="none"/>
        </w:rPr>
        <w:t>州</w:t>
      </w:r>
      <w:r>
        <w:rPr>
          <w:rFonts w:eastAsia="方正仿宋_GBK"/>
          <w:color w:val="auto"/>
          <w:kern w:val="2"/>
          <w:sz w:val="30"/>
          <w:szCs w:val="30"/>
          <w:highlight w:val="none"/>
        </w:rPr>
        <w:t>基础设施廊道</w:t>
      </w:r>
      <w:r>
        <w:rPr>
          <w:rFonts w:hint="eastAsia" w:eastAsia="方正仿宋_GBK"/>
          <w:color w:val="auto"/>
          <w:kern w:val="2"/>
          <w:sz w:val="30"/>
          <w:szCs w:val="30"/>
          <w:highlight w:val="none"/>
        </w:rPr>
        <w:t>布局</w:t>
      </w:r>
      <w:r>
        <w:rPr>
          <w:rFonts w:eastAsia="方正仿宋_GBK"/>
          <w:color w:val="auto"/>
          <w:kern w:val="2"/>
          <w:sz w:val="30"/>
          <w:szCs w:val="30"/>
          <w:highlight w:val="none"/>
        </w:rPr>
        <w:t>体系</w:t>
      </w:r>
      <w:r>
        <w:rPr>
          <w:rFonts w:hint="eastAsia" w:eastAsia="方正仿宋_GBK"/>
          <w:color w:val="auto"/>
          <w:kern w:val="2"/>
          <w:sz w:val="30"/>
          <w:szCs w:val="30"/>
          <w:highlight w:val="none"/>
        </w:rPr>
        <w:t>。鼓励各类基础设施在预留廊道内布局，</w:t>
      </w:r>
      <w:r>
        <w:rPr>
          <w:rFonts w:eastAsia="方正仿宋_GBK"/>
          <w:color w:val="auto"/>
          <w:kern w:val="2"/>
          <w:sz w:val="30"/>
          <w:szCs w:val="30"/>
          <w:highlight w:val="none"/>
        </w:rPr>
        <w:t>减少对国土空间的切割和过度占用，保障重大基础设施的建设和安全，形成空间布局合理、运行高效的基础设施骨架</w:t>
      </w:r>
      <w:r>
        <w:rPr>
          <w:rFonts w:hint="eastAsia" w:eastAsia="方正仿宋_GBK"/>
          <w:color w:val="auto"/>
          <w:kern w:val="2"/>
          <w:sz w:val="30"/>
          <w:szCs w:val="30"/>
          <w:highlight w:val="none"/>
        </w:rPr>
        <w:t>，</w:t>
      </w:r>
      <w:r>
        <w:rPr>
          <w:rFonts w:eastAsia="方正仿宋_GBK"/>
          <w:color w:val="auto"/>
          <w:kern w:val="2"/>
          <w:sz w:val="30"/>
          <w:szCs w:val="30"/>
          <w:highlight w:val="none"/>
        </w:rPr>
        <w:t>支撑全省</w:t>
      </w:r>
      <w:r>
        <w:rPr>
          <w:rFonts w:hint="eastAsia" w:eastAsia="方正仿宋_GBK"/>
          <w:color w:val="auto"/>
          <w:kern w:val="2"/>
          <w:sz w:val="30"/>
          <w:szCs w:val="30"/>
          <w:highlight w:val="none"/>
          <w:lang w:eastAsia="zh-CN"/>
        </w:rPr>
        <w:t>国土空间总体格局</w:t>
      </w:r>
      <w:r>
        <w:rPr>
          <w:rFonts w:eastAsia="方正仿宋_GBK"/>
          <w:color w:val="auto"/>
          <w:kern w:val="2"/>
          <w:sz w:val="30"/>
          <w:szCs w:val="30"/>
          <w:highlight w:val="none"/>
        </w:rPr>
        <w:t>构建</w:t>
      </w:r>
      <w:r>
        <w:rPr>
          <w:rFonts w:hint="eastAsia" w:eastAsia="方正仿宋_GBK"/>
          <w:color w:val="auto"/>
          <w:kern w:val="2"/>
          <w:sz w:val="30"/>
          <w:szCs w:val="30"/>
          <w:highlight w:val="none"/>
        </w:rPr>
        <w:t>。</w:t>
      </w:r>
    </w:p>
    <w:p w14:paraId="5ACCC6FB">
      <w:pPr>
        <w:pStyle w:val="29"/>
        <w:overflowPunct w:val="0"/>
        <w:spacing w:beforeAutospacing="0" w:afterAutospacing="0" w:line="560" w:lineRule="exact"/>
        <w:ind w:firstLine="600" w:firstLineChars="200"/>
        <w:jc w:val="both"/>
        <w:rPr>
          <w:rFonts w:eastAsia="方正仿宋_GBK"/>
          <w:color w:val="auto"/>
          <w:kern w:val="2"/>
          <w:sz w:val="30"/>
          <w:szCs w:val="30"/>
          <w:highlight w:val="none"/>
        </w:rPr>
      </w:pPr>
      <w:r>
        <w:rPr>
          <w:rFonts w:hint="eastAsia" w:ascii="方正楷体_GBK" w:eastAsia="方正楷体_GBK"/>
          <w:color w:val="auto"/>
          <w:kern w:val="2"/>
          <w:sz w:val="30"/>
          <w:szCs w:val="30"/>
          <w:highlight w:val="none"/>
        </w:rPr>
        <w:t>推进基础设施低影响开发。</w:t>
      </w:r>
      <w:r>
        <w:rPr>
          <w:rFonts w:hint="eastAsia" w:eastAsia="方正仿宋_GBK"/>
          <w:color w:val="auto"/>
          <w:kern w:val="2"/>
          <w:sz w:val="30"/>
          <w:szCs w:val="30"/>
          <w:highlight w:val="none"/>
        </w:rPr>
        <w:t>基础设施廊道选址选线应在坝区外围布局，减少对坝区的分割和占用，合理避让自然灾害高风险区、生态保护红线、永久基本农田。基础设施建设应尽量布局在预留廊道内，协调交通、水利、能源、环境、通信等基础设施布局，促进区域性基础设施廊道共享，节约集约利用土地和空间资源。各项基础设施建设原则上不得压覆储量规模中型以上的矿产地。风光水电清洁能源生产基地应注意避让重要水源涵养区、自然灾害高风险区和野生动物重要栖息地。</w:t>
      </w:r>
    </w:p>
    <w:p w14:paraId="7CFA6611">
      <w:pPr>
        <w:pStyle w:val="29"/>
        <w:overflowPunct w:val="0"/>
        <w:spacing w:beforeAutospacing="0" w:afterAutospacing="0" w:line="560" w:lineRule="exact"/>
        <w:ind w:firstLine="600" w:firstLineChars="200"/>
        <w:jc w:val="both"/>
        <w:rPr>
          <w:rFonts w:eastAsia="方正仿宋_GBK"/>
          <w:color w:val="auto"/>
          <w:kern w:val="2"/>
          <w:sz w:val="30"/>
          <w:szCs w:val="30"/>
          <w:highlight w:val="none"/>
        </w:rPr>
      </w:pPr>
      <w:r>
        <w:rPr>
          <w:rFonts w:hint="eastAsia" w:ascii="方正楷体_GBK" w:eastAsia="方正楷体_GBK"/>
          <w:color w:val="auto"/>
          <w:kern w:val="2"/>
          <w:sz w:val="30"/>
          <w:szCs w:val="30"/>
          <w:highlight w:val="none"/>
        </w:rPr>
        <w:t>保障重大基础设施用地。</w:t>
      </w:r>
      <w:r>
        <w:rPr>
          <w:rFonts w:hint="eastAsia" w:eastAsia="方正仿宋_GBK"/>
          <w:color w:val="auto"/>
          <w:kern w:val="2"/>
          <w:sz w:val="30"/>
          <w:szCs w:val="30"/>
          <w:highlight w:val="none"/>
        </w:rPr>
        <w:t>保障落实国家发展战略、省发展战略、州发展战略的重大基础设施建设，统筹保障交通、水利、能源、新基建、矿产及其他建设用地需求。重点保障孟中印缅国际通道和昆瑞、昆曼等通道功能提升的空间需求，保障“风光水储”一体化清洁能源基地、国家西南能源管道、西南区域天然气网络通道、国家西电东送战略大通道等能源通道空间建设，保障滇中引水二期工程、不管河（礼社江）引水工程等重点区域跨流域引调水工程通道等建设空间需求，保障楚雄高新区黄草片区与牟定工业园区固体废物消纳场建设空间需求，保障楚雄、禄丰、大姚垃圾焚烧厂建设空间需求。</w:t>
      </w:r>
    </w:p>
    <w:p w14:paraId="2D2AA70B">
      <w:pPr>
        <w:pStyle w:val="5"/>
        <w:rPr>
          <w:rFonts w:eastAsia="方正黑体简体"/>
          <w:color w:val="auto"/>
          <w:highlight w:val="none"/>
        </w:rPr>
      </w:pPr>
      <w:bookmarkStart w:id="255" w:name="_Toc184639405"/>
      <w:r>
        <w:rPr>
          <w:color w:val="auto"/>
          <w:highlight w:val="none"/>
        </w:rPr>
        <w:t>第</w:t>
      </w:r>
      <w:r>
        <w:rPr>
          <w:rFonts w:hint="eastAsia"/>
          <w:color w:val="auto"/>
          <w:highlight w:val="none"/>
        </w:rPr>
        <w:t>六</w:t>
      </w:r>
      <w:r>
        <w:rPr>
          <w:color w:val="auto"/>
          <w:highlight w:val="none"/>
        </w:rPr>
        <w:t>节</w:t>
      </w:r>
      <w:r>
        <w:rPr>
          <w:rFonts w:hint="eastAsia" w:eastAsia="方正黑体简体"/>
          <w:color w:val="auto"/>
          <w:highlight w:val="none"/>
        </w:rPr>
        <w:t xml:space="preserve"> </w:t>
      </w:r>
      <w:r>
        <w:rPr>
          <w:color w:val="auto"/>
          <w:highlight w:val="none"/>
        </w:rPr>
        <w:t>增强公共安全和防灾减灾能力</w:t>
      </w:r>
      <w:bookmarkEnd w:id="247"/>
      <w:bookmarkEnd w:id="248"/>
      <w:bookmarkEnd w:id="249"/>
      <w:bookmarkEnd w:id="255"/>
    </w:p>
    <w:p w14:paraId="5857170E">
      <w:pPr>
        <w:pStyle w:val="6"/>
        <w:rPr>
          <w:color w:val="auto"/>
          <w:highlight w:val="none"/>
        </w:rPr>
      </w:pPr>
      <w:r>
        <w:rPr>
          <w:rFonts w:hint="eastAsia"/>
          <w:color w:val="auto"/>
          <w:highlight w:val="none"/>
        </w:rPr>
        <w:t>一、防灾减灾目标</w:t>
      </w:r>
    </w:p>
    <w:p w14:paraId="201C478F">
      <w:pPr>
        <w:ind w:firstLine="600"/>
        <w:rPr>
          <w:rFonts w:eastAsia="方正仿宋_GBK"/>
          <w:color w:val="auto"/>
          <w:sz w:val="30"/>
          <w:szCs w:val="30"/>
          <w:highlight w:val="none"/>
        </w:rPr>
      </w:pPr>
      <w:r>
        <w:rPr>
          <w:rFonts w:hint="eastAsia" w:eastAsia="方正仿宋_GBK"/>
          <w:color w:val="auto"/>
          <w:sz w:val="30"/>
          <w:szCs w:val="30"/>
          <w:highlight w:val="none"/>
        </w:rPr>
        <w:t>进一步提高楚雄州防灾减灾能力，到2025年全州综合防灾减灾救灾法治化水平迈上新台阶，自然灾害防治工程和新基础设施建设取得新进展，数字治理和社会治理能力取得新突破，城市综合抗震设施能力有新提升，农村地区综合抗御灾害的能力明显提升。支撑保障能力取得新成效，年均因自然灾害直接经济损失占生产总值的比例控制在</w:t>
      </w:r>
      <w:r>
        <w:rPr>
          <w:rFonts w:eastAsia="方正仿宋_GBK"/>
          <w:color w:val="auto"/>
          <w:sz w:val="30"/>
          <w:szCs w:val="30"/>
          <w:highlight w:val="none"/>
        </w:rPr>
        <w:t>1.5%</w:t>
      </w:r>
      <w:r>
        <w:rPr>
          <w:rFonts w:hint="eastAsia" w:eastAsia="方正仿宋_GBK"/>
          <w:color w:val="auto"/>
          <w:sz w:val="30"/>
          <w:szCs w:val="30"/>
          <w:highlight w:val="none"/>
        </w:rPr>
        <w:t>以内，年均百万人口因灾死亡率控制在</w:t>
      </w:r>
      <w:r>
        <w:rPr>
          <w:rFonts w:eastAsia="方正仿宋_GBK"/>
          <w:color w:val="auto"/>
          <w:sz w:val="30"/>
          <w:szCs w:val="30"/>
          <w:highlight w:val="none"/>
        </w:rPr>
        <w:t>2.0</w:t>
      </w:r>
      <w:r>
        <w:rPr>
          <w:rFonts w:hint="eastAsia" w:eastAsia="方正仿宋_GBK"/>
          <w:color w:val="auto"/>
          <w:sz w:val="30"/>
          <w:szCs w:val="30"/>
          <w:highlight w:val="none"/>
        </w:rPr>
        <w:t>以内。到2035年，楚雄州防灾减灾救灾能力达到更高水平，与全国同步基本实现综合防灾减灾救灾治理体系和治理能力现代化，人民群众生活更加美好。</w:t>
      </w:r>
    </w:p>
    <w:p w14:paraId="77F1F9C2">
      <w:pPr>
        <w:pStyle w:val="6"/>
        <w:rPr>
          <w:color w:val="auto"/>
          <w:highlight w:val="none"/>
        </w:rPr>
      </w:pPr>
      <w:r>
        <w:rPr>
          <w:rFonts w:hint="eastAsia"/>
          <w:color w:val="auto"/>
          <w:highlight w:val="none"/>
        </w:rPr>
        <w:t>二、建立综合防灾体系</w:t>
      </w:r>
    </w:p>
    <w:p w14:paraId="19078C41">
      <w:pPr>
        <w:ind w:firstLine="600"/>
        <w:rPr>
          <w:rFonts w:eastAsia="方正仿宋_GBK"/>
          <w:color w:val="auto"/>
          <w:sz w:val="30"/>
          <w:szCs w:val="30"/>
          <w:highlight w:val="none"/>
        </w:rPr>
      </w:pPr>
      <w:r>
        <w:rPr>
          <w:rFonts w:hint="eastAsia" w:eastAsia="方正仿宋_GBK"/>
          <w:color w:val="auto"/>
          <w:sz w:val="30"/>
          <w:szCs w:val="30"/>
          <w:highlight w:val="none"/>
        </w:rPr>
        <w:t>按照预防为主、平战结合、平灾结合的原则，统筹兼顾各类自然灾害，以地震、地质、气象和生物灾害防治为重点，加强监测预警系统建设，保障州级应急指挥中心、急救中心、公共卫生中心、救灾物资储备库、战勤和特勤消防站建设空间，确保救灾干道通畅，完善综合减灾与风险管理信息共享平台，健全灾情监测、预警、评估和应急救助指挥体系。</w:t>
      </w:r>
    </w:p>
    <w:p w14:paraId="519C47FE">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实施应急指挥中心工程。</w:t>
      </w:r>
      <w:r>
        <w:rPr>
          <w:rFonts w:hint="eastAsia" w:eastAsia="方正仿宋_GBK"/>
          <w:color w:val="auto"/>
          <w:sz w:val="30"/>
          <w:szCs w:val="30"/>
          <w:highlight w:val="none"/>
        </w:rPr>
        <w:t>规划在楚雄市设立州级综合防灾减灾指挥中心，指挥楚雄州全域的防灾减灾等相关工作；其余各县（市）设县（市）级防灾减灾指挥中心，指挥本县（市）内的防灾减灾等相关工作。</w:t>
      </w:r>
    </w:p>
    <w:p w14:paraId="7382C5D2">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推进三类避难场所建设。</w:t>
      </w:r>
      <w:r>
        <w:rPr>
          <w:rFonts w:hint="eastAsia" w:eastAsia="方正仿宋_GBK"/>
          <w:color w:val="auto"/>
          <w:sz w:val="30"/>
          <w:szCs w:val="30"/>
          <w:highlight w:val="none"/>
        </w:rPr>
        <w:t>利用公园绿地、广场、体育场馆、学校等场地设施，推进中心避难场所、固定避难场所、紧急避难场所三类避难场所体系建设。</w:t>
      </w:r>
    </w:p>
    <w:p w14:paraId="7AEBEE5D">
      <w:pPr>
        <w:ind w:firstLine="600"/>
        <w:jc w:val="left"/>
        <w:rPr>
          <w:color w:val="auto"/>
          <w:sz w:val="30"/>
          <w:szCs w:val="30"/>
          <w:highlight w:val="none"/>
        </w:rPr>
      </w:pPr>
      <w:r>
        <w:rPr>
          <w:rFonts w:hint="eastAsia" w:ascii="方正楷体_GBK" w:eastAsia="方正楷体_GBK"/>
          <w:color w:val="auto"/>
          <w:sz w:val="30"/>
          <w:szCs w:val="30"/>
          <w:highlight w:val="none"/>
        </w:rPr>
        <w:t>构建两级区域应急疏散救援通道。</w:t>
      </w:r>
      <w:r>
        <w:rPr>
          <w:rFonts w:hint="eastAsia" w:eastAsia="方正仿宋_GBK"/>
          <w:color w:val="auto"/>
          <w:sz w:val="30"/>
          <w:szCs w:val="30"/>
          <w:highlight w:val="none"/>
        </w:rPr>
        <w:t>加强州域应急通道建设，依托高速公路、快速路、国道等干线公路形成县（市）域主要救援通道，确保每个方向至少有2个出入口。以二级公路和三级公路作为次要疏散通道或救援通道，救灾干道有效宽度不小于15米。</w:t>
      </w:r>
    </w:p>
    <w:p w14:paraId="48246756">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保障城镇生命线工程。</w:t>
      </w:r>
      <w:r>
        <w:rPr>
          <w:rFonts w:hint="eastAsia" w:eastAsia="方正仿宋_GBK"/>
          <w:color w:val="auto"/>
          <w:sz w:val="30"/>
          <w:szCs w:val="30"/>
          <w:highlight w:val="none"/>
        </w:rPr>
        <w:t>定期检查城镇供水、供电、燃气、通讯、交通、粮食、医疗等系统，确保灾难期间城市人民正常生活和生产的生命线设施正常运转。</w:t>
      </w:r>
    </w:p>
    <w:p w14:paraId="379D2A54">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完善四级救灾物资储备体系。</w:t>
      </w:r>
      <w:r>
        <w:rPr>
          <w:rFonts w:hint="eastAsia" w:eastAsia="方正仿宋_GBK"/>
          <w:color w:val="auto"/>
          <w:sz w:val="30"/>
          <w:szCs w:val="30"/>
          <w:highlight w:val="none"/>
        </w:rPr>
        <w:t>建设州级救灾物资储备库，形成以州级为中心，县（市）为支撑，乡镇为依托，村委会（社区）为基础，纵向衔接、横向支撑、布局合理、规模适度的四级应急救灾物资储备体系。</w:t>
      </w:r>
    </w:p>
    <w:p w14:paraId="236DBB6C">
      <w:pPr>
        <w:pStyle w:val="6"/>
        <w:rPr>
          <w:color w:val="auto"/>
          <w:highlight w:val="none"/>
        </w:rPr>
      </w:pPr>
      <w:r>
        <w:rPr>
          <w:rFonts w:hint="eastAsia"/>
          <w:color w:val="auto"/>
          <w:highlight w:val="none"/>
        </w:rPr>
        <w:t>三、强化地质灾害防治</w:t>
      </w:r>
    </w:p>
    <w:p w14:paraId="43BBEF15">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地质灾害重点防治区域。</w:t>
      </w:r>
      <w:r>
        <w:rPr>
          <w:rFonts w:hint="eastAsia" w:eastAsia="方正仿宋_GBK"/>
          <w:color w:val="auto"/>
          <w:sz w:val="30"/>
          <w:szCs w:val="30"/>
          <w:highlight w:val="none"/>
        </w:rPr>
        <w:t>重点防治区以南华、楚雄、双柏为主的楚雄州南部、西南部地质灾害的高易发区。</w:t>
      </w:r>
    </w:p>
    <w:p w14:paraId="1BCFD219">
      <w:pPr>
        <w:ind w:firstLine="600"/>
        <w:jc w:val="left"/>
        <w:rPr>
          <w:rFonts w:ascii="仿宋_GB2312" w:hAnsi="楷体"/>
          <w:color w:val="auto"/>
          <w:sz w:val="30"/>
          <w:szCs w:val="30"/>
          <w:highlight w:val="none"/>
        </w:rPr>
      </w:pPr>
      <w:r>
        <w:rPr>
          <w:rFonts w:hint="eastAsia" w:ascii="方正楷体_GBK" w:eastAsia="方正楷体_GBK"/>
          <w:color w:val="auto"/>
          <w:sz w:val="30"/>
          <w:szCs w:val="30"/>
          <w:highlight w:val="none"/>
        </w:rPr>
        <w:t>地质灾害防治措施。</w:t>
      </w:r>
      <w:r>
        <w:rPr>
          <w:rFonts w:hint="eastAsia" w:eastAsia="方正仿宋_GBK"/>
          <w:color w:val="auto"/>
          <w:sz w:val="30"/>
          <w:szCs w:val="30"/>
          <w:highlight w:val="none"/>
        </w:rPr>
        <w:t>防治措施包括行政措施和工程措施。采取行政措施，通过行政法令和技术法规等手段，规范人民群众的生活、生产活动，避免诱发致灾地质作用的发生，监测预报致灾作用的变化动态，使拟建工程设施或流动性人、物避开地质灾害危险区（主动避让）或将处于灾害危险区中的已有居民设施迁出危险区（被动撤离）等。采取工程措施，开展建（构）筑物或岩土体改造工程、疏排水工程及生物植被工程等，以加固、稳定变形地质体，调整、控制致灾地质作用，从而制止致灾地质作用的发生、发展及其与受灾对象的遭遇。在山地城镇的建设中，提前进行地质灾害危险性评估，有效避让地质灾害隐患地区，科学推进山地城镇建设。</w:t>
      </w:r>
    </w:p>
    <w:p w14:paraId="0EBBB7EA">
      <w:pPr>
        <w:ind w:firstLine="600"/>
        <w:rPr>
          <w:rFonts w:hint="eastAsia" w:eastAsia="方正仿宋_GBK"/>
          <w:color w:val="auto"/>
          <w:sz w:val="30"/>
          <w:szCs w:val="30"/>
          <w:highlight w:val="none"/>
          <w:u w:val="none"/>
        </w:rPr>
      </w:pPr>
      <w:r>
        <w:rPr>
          <w:rFonts w:hint="eastAsia" w:ascii="方正楷体_GBK" w:eastAsia="方正楷体_GBK"/>
          <w:color w:val="auto"/>
          <w:sz w:val="30"/>
          <w:szCs w:val="30"/>
          <w:highlight w:val="none"/>
        </w:rPr>
        <w:t>加强避难场所设置。</w:t>
      </w:r>
      <w:r>
        <w:rPr>
          <w:rFonts w:hint="eastAsia" w:eastAsia="方正仿宋_GBK"/>
          <w:color w:val="auto"/>
          <w:sz w:val="30"/>
          <w:szCs w:val="30"/>
          <w:highlight w:val="none"/>
        </w:rPr>
        <w:t>利用公园、绿地、体育场、大专院校等旷地以及地下空间，建立布局合理的应急服务设施，</w:t>
      </w:r>
      <w:r>
        <w:rPr>
          <w:rFonts w:hint="eastAsia" w:eastAsia="方正仿宋_GBK"/>
          <w:color w:val="auto"/>
          <w:sz w:val="30"/>
          <w:szCs w:val="30"/>
          <w:highlight w:val="none"/>
          <w:u w:val="none"/>
        </w:rPr>
        <w:t>全州各县（市）均应按标准分级建设应急避难场所和应急疏散通道。应急避难场所人均避难面积控制在1.0–1.5平方米。</w:t>
      </w:r>
    </w:p>
    <w:p w14:paraId="528B53A3">
      <w:pPr>
        <w:pStyle w:val="6"/>
        <w:rPr>
          <w:color w:val="auto"/>
          <w:highlight w:val="none"/>
        </w:rPr>
      </w:pPr>
      <w:r>
        <w:rPr>
          <w:rFonts w:hint="eastAsia"/>
          <w:color w:val="auto"/>
          <w:highlight w:val="none"/>
        </w:rPr>
        <w:t>四、加强地震灾害防治</w:t>
      </w:r>
    </w:p>
    <w:p w14:paraId="461486EE">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优化区域抗震防灾综合防御格局。</w:t>
      </w:r>
      <w:r>
        <w:rPr>
          <w:rFonts w:hint="eastAsia" w:eastAsia="方正仿宋_GBK"/>
          <w:color w:val="auto"/>
          <w:sz w:val="30"/>
          <w:szCs w:val="30"/>
          <w:highlight w:val="none"/>
        </w:rPr>
        <w:t>严格落实《中国地震动参数区划图》（GB18306—2015），重点加强地震易发区和地震重点监视防御区的防震减灾综合能力建设，优化区域内城镇布局，强化地震灾害防御。加强地震灾害风险普查成果应用，将区域性地震安全性评价、地震灾害风险区划和防治区划成果作为国土空间规划编制的重要基础，引导城镇、工业布局合理选址，实现地震灾害风险精准防控。规划用地布局应充分考虑地震断裂带的影响，公益性设施布局应合理避让地震断裂带，新建项目需根据规范标准避让地震活动断裂带。</w:t>
      </w:r>
    </w:p>
    <w:p w14:paraId="1C8935D3">
      <w:pPr>
        <w:ind w:firstLine="600"/>
        <w:jc w:val="left"/>
        <w:rPr>
          <w:rFonts w:hint="eastAsia" w:eastAsia="方正仿宋_GBK"/>
          <w:color w:val="auto"/>
          <w:sz w:val="30"/>
          <w:szCs w:val="30"/>
          <w:highlight w:val="none"/>
          <w:u w:val="none"/>
        </w:rPr>
      </w:pPr>
      <w:r>
        <w:rPr>
          <w:rFonts w:hint="eastAsia" w:ascii="方正楷体_GBK" w:eastAsia="方正楷体_GBK"/>
          <w:color w:val="auto"/>
          <w:sz w:val="30"/>
          <w:szCs w:val="30"/>
          <w:highlight w:val="none"/>
        </w:rPr>
        <w:t>明确建设工程抗震设防标准。</w:t>
      </w:r>
      <w:r>
        <w:rPr>
          <w:rFonts w:hint="eastAsia" w:eastAsia="方正仿宋_GBK"/>
          <w:color w:val="auto"/>
          <w:sz w:val="30"/>
          <w:szCs w:val="30"/>
          <w:highlight w:val="none"/>
          <w:u w:val="none"/>
        </w:rPr>
        <w:t>按照《中国地震动参数区划图》（GB18306—2015）、《云南省各地抗震设防烈度表》，楚雄市中心城区（鹿城镇、东瓜镇）、吕合镇、紫溪镇、东华镇、子午镇；南华县中心城区（龙川镇）、沙桥镇、雨露乡、红土坡镇、马街镇、兔街镇、罗武庄乡、五顶山乡；双柏县大庄镇、法脿镇、安龙堡乡抗震设防烈度为</w:t>
      </w:r>
      <w:r>
        <w:rPr>
          <w:rFonts w:hint="eastAsia" w:eastAsia="方正仿宋_GBK"/>
          <w:color w:val="auto"/>
          <w:sz w:val="30"/>
          <w:szCs w:val="30"/>
          <w:highlight w:val="none"/>
          <w:u w:val="none"/>
          <w:lang w:eastAsia="zh-CN"/>
        </w:rPr>
        <w:t>Ⅷ</w:t>
      </w:r>
      <w:r>
        <w:rPr>
          <w:rFonts w:hint="eastAsia" w:eastAsia="方正仿宋_GBK"/>
          <w:color w:val="auto"/>
          <w:sz w:val="30"/>
          <w:szCs w:val="30"/>
          <w:highlight w:val="none"/>
          <w:u w:val="none"/>
        </w:rPr>
        <w:t>度，设计基本地震加速度值为0.2g。其余县（市）中心城区、乡镇抗震设防烈度为VII度，设计基本地震加速度值为0.1g～0.15g。</w:t>
      </w:r>
    </w:p>
    <w:p w14:paraId="56E29F91">
      <w:pPr>
        <w:ind w:firstLine="600"/>
        <w:jc w:val="left"/>
        <w:rPr>
          <w:rFonts w:hint="eastAsia" w:eastAsia="方正仿宋_GBK"/>
          <w:color w:val="auto"/>
          <w:sz w:val="30"/>
          <w:szCs w:val="30"/>
          <w:highlight w:val="none"/>
          <w:u w:val="none"/>
        </w:rPr>
      </w:pPr>
      <w:r>
        <w:rPr>
          <w:rFonts w:hint="eastAsia" w:ascii="方正楷体_GBK" w:eastAsia="方正楷体_GBK"/>
          <w:color w:val="auto"/>
          <w:sz w:val="30"/>
          <w:szCs w:val="30"/>
          <w:highlight w:val="none"/>
        </w:rPr>
        <w:t>强化重大基础设施和生命线工程抗震能力。</w:t>
      </w:r>
      <w:r>
        <w:rPr>
          <w:rFonts w:hint="eastAsia" w:eastAsia="方正仿宋_GBK"/>
          <w:color w:val="auto"/>
          <w:sz w:val="30"/>
          <w:szCs w:val="30"/>
          <w:highlight w:val="none"/>
        </w:rPr>
        <w:t>开展重大基础设施和生命线工程地震安全性评价工作，严格落实各类交通设施抗震设防标准，提高重要电力设施和输电线路的抗震能力，提高水利水电工程、输油气管线等重大工程的抗震能力，提升地震监测预警能力。</w:t>
      </w:r>
      <w:r>
        <w:rPr>
          <w:rFonts w:hint="eastAsia" w:eastAsia="方正仿宋_GBK"/>
          <w:color w:val="auto"/>
          <w:sz w:val="30"/>
          <w:szCs w:val="30"/>
          <w:highlight w:val="none"/>
          <w:u w:val="none"/>
        </w:rPr>
        <w:t>城镇生命线系统和重要基础设施依照抗震设防烈度提高1个设防等级。</w:t>
      </w:r>
    </w:p>
    <w:p w14:paraId="4F105531">
      <w:pPr>
        <w:pStyle w:val="6"/>
        <w:rPr>
          <w:color w:val="auto"/>
          <w:highlight w:val="none"/>
        </w:rPr>
      </w:pPr>
      <w:r>
        <w:rPr>
          <w:rFonts w:hint="eastAsia"/>
          <w:color w:val="auto"/>
          <w:highlight w:val="none"/>
        </w:rPr>
        <w:t>五、强化城市</w:t>
      </w:r>
      <w:r>
        <w:rPr>
          <w:color w:val="auto"/>
          <w:highlight w:val="none"/>
        </w:rPr>
        <w:t>防洪排涝</w:t>
      </w:r>
    </w:p>
    <w:p w14:paraId="40A118A2">
      <w:pPr>
        <w:ind w:firstLine="600"/>
        <w:jc w:val="left"/>
        <w:rPr>
          <w:rFonts w:hint="eastAsia" w:eastAsia="方正仿宋_GBK"/>
          <w:color w:val="auto"/>
          <w:sz w:val="30"/>
          <w:szCs w:val="30"/>
          <w:highlight w:val="none"/>
          <w:u w:val="none"/>
        </w:rPr>
      </w:pPr>
      <w:r>
        <w:rPr>
          <w:rFonts w:hint="eastAsia" w:ascii="方正楷体_GBK" w:eastAsia="方正楷体_GBK"/>
          <w:color w:val="auto"/>
          <w:sz w:val="30"/>
          <w:szCs w:val="30"/>
          <w:highlight w:val="none"/>
        </w:rPr>
        <w:t>防洪排涝标准。</w:t>
      </w:r>
      <w:r>
        <w:rPr>
          <w:rFonts w:hint="eastAsia" w:eastAsia="方正仿宋_GBK"/>
          <w:color w:val="auto"/>
          <w:sz w:val="30"/>
          <w:szCs w:val="30"/>
          <w:highlight w:val="none"/>
          <w:u w:val="none"/>
        </w:rPr>
        <w:t>依据《城市防洪工程设计规范GB/T50805—2012</w:t>
      </w:r>
      <w:r>
        <w:rPr>
          <w:rFonts w:hint="eastAsia" w:eastAsia="方正仿宋_GBK"/>
          <w:color w:val="auto"/>
          <w:sz w:val="30"/>
          <w:szCs w:val="30"/>
          <w:highlight w:val="none"/>
          <w:u w:val="none"/>
          <w:lang w:eastAsia="zh-CN"/>
        </w:rPr>
        <w:t>》《</w:t>
      </w:r>
      <w:r>
        <w:rPr>
          <w:rFonts w:hint="eastAsia" w:eastAsia="方正仿宋_GBK"/>
          <w:color w:val="auto"/>
          <w:sz w:val="30"/>
          <w:szCs w:val="30"/>
          <w:highlight w:val="none"/>
          <w:u w:val="none"/>
        </w:rPr>
        <w:t>城镇内涝防治技术规范CB51222-2017》，楚雄市中心城区防洪标准不低于100年一遇，内涝防治设计重现期不低于20年一遇。禄丰市中心城区防洪标准不低于50年一遇，内涝防治设计重现期不低于20年一遇。其余县城中心城区防洪标准不低于20年一遇。内涝防治设计重现期不低于20年。用地布局必须满足行洪需要，留出行洪通道。严禁在行洪用地空间范围内进行有碍行洪的城市建设活动。城市河道防洪工程主要由堤防、溢洪堰等系统组成。</w:t>
      </w:r>
    </w:p>
    <w:p w14:paraId="7F3AE4E6">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洪涝灾害风险控制线管控。</w:t>
      </w:r>
      <w:r>
        <w:rPr>
          <w:rFonts w:hint="eastAsia" w:ascii="仿宋_GB2312" w:hAnsi="楷体"/>
          <w:color w:val="auto"/>
          <w:sz w:val="30"/>
          <w:szCs w:val="30"/>
          <w:highlight w:val="none"/>
        </w:rPr>
        <w:t>为</w:t>
      </w:r>
      <w:r>
        <w:rPr>
          <w:rFonts w:hint="eastAsia" w:eastAsia="方正仿宋_GBK"/>
          <w:color w:val="auto"/>
          <w:sz w:val="30"/>
          <w:szCs w:val="30"/>
          <w:highlight w:val="none"/>
        </w:rPr>
        <w:t>保障防洪排涝系统的完整性和通达性，为雨洪水蓄滞和行洪划定的自然空间和重大调蓄设施用地范围，包括河湖、坑塘、绿地洼地、涝水行泄通道以及具备雨水蓄排功能的地下调蓄设施和隧道等预留空间。洪涝灾害风险控制线内的开发建设活动需要严格论证，不能对洪涝灾害防御产生影响，当洪涝灾害来临时不会产生重大损失。</w:t>
      </w:r>
    </w:p>
    <w:p w14:paraId="116C5AE5">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防洪排涝工程措施。</w:t>
      </w:r>
      <w:r>
        <w:rPr>
          <w:rFonts w:hint="eastAsia" w:eastAsia="方正仿宋_GBK"/>
          <w:color w:val="auto"/>
          <w:sz w:val="30"/>
          <w:szCs w:val="30"/>
          <w:highlight w:val="none"/>
        </w:rPr>
        <w:t>县级及县级以上城市应编制城市防洪工程专项规划，积极推进重点防洪工程建设。城镇防洪规划应与当地江河流域、农田水利建设、水土保持、绿化造林等的规划相结合，统一整治河道，修建堤坝、圩垸和蓄、滞洪区等防洪工程设施。完成龙川江楚雄、南华、元谋和禄丰黑井段治理任务；开展中小河流武定县勐果河猫街放鹅拦河闸—高桥集镇段，蜻蛉河姚安县白石地—班刘村委会段和勐岗河前场、适中段，楚雄市紫甸河，永仁县永定河，牟定县紫甸河和勐岗河蟠猫至古岩段，双柏县沙甸河新会段和小沙河，元谋县勐岗河、永定河和蜻蛉河弯保至那化段，禄丰市西河和南河，大姚县西河等中小河道治理任务。建设楚雄市、姚安县、大姚县城区排涝工程。建立龙川江下段水情自动测报和预报调度系统，建立蜻蛉河姚安、大姚段水情自动测报和预报调度系统；建设</w:t>
      </w:r>
      <w:r>
        <w:rPr>
          <w:rFonts w:hint="eastAsia" w:eastAsia="方正仿宋_GBK"/>
          <w:color w:val="auto"/>
          <w:sz w:val="30"/>
          <w:szCs w:val="30"/>
          <w:highlight w:val="none"/>
          <w:lang w:eastAsia="zh-CN"/>
        </w:rPr>
        <w:t>无线电通信</w:t>
      </w:r>
      <w:r>
        <w:rPr>
          <w:rFonts w:hint="eastAsia" w:eastAsia="方正仿宋_GBK"/>
          <w:color w:val="auto"/>
          <w:sz w:val="30"/>
          <w:szCs w:val="30"/>
          <w:highlight w:val="none"/>
        </w:rPr>
        <w:t>网络及预警预报系统，小</w:t>
      </w:r>
      <w:r>
        <w:rPr>
          <w:rFonts w:eastAsia="方正仿宋_GBK"/>
          <w:color w:val="auto"/>
          <w:sz w:val="30"/>
          <w:szCs w:val="30"/>
          <w:highlight w:val="none"/>
        </w:rPr>
        <w:t>（1）</w:t>
      </w:r>
      <w:r>
        <w:rPr>
          <w:rFonts w:hint="eastAsia" w:eastAsia="方正仿宋_GBK"/>
          <w:color w:val="auto"/>
          <w:sz w:val="30"/>
          <w:szCs w:val="30"/>
          <w:highlight w:val="none"/>
        </w:rPr>
        <w:t>型以上水库所辖乡镇</w:t>
      </w:r>
      <w:r>
        <w:rPr>
          <w:rFonts w:hint="eastAsia" w:eastAsia="方正仿宋_GBK"/>
          <w:color w:val="auto"/>
          <w:sz w:val="30"/>
          <w:szCs w:val="30"/>
          <w:highlight w:val="none"/>
          <w:lang w:eastAsia="zh-CN"/>
        </w:rPr>
        <w:t>建设通信</w:t>
      </w:r>
      <w:r>
        <w:rPr>
          <w:rFonts w:hint="eastAsia" w:eastAsia="方正仿宋_GBK"/>
          <w:color w:val="auto"/>
          <w:sz w:val="30"/>
          <w:szCs w:val="30"/>
          <w:highlight w:val="none"/>
        </w:rPr>
        <w:t>网络及一点多址微波站。</w:t>
      </w:r>
    </w:p>
    <w:p w14:paraId="04E7C91A">
      <w:pPr>
        <w:pStyle w:val="6"/>
        <w:rPr>
          <w:color w:val="auto"/>
          <w:highlight w:val="none"/>
        </w:rPr>
      </w:pPr>
      <w:r>
        <w:rPr>
          <w:rFonts w:hint="eastAsia"/>
          <w:color w:val="auto"/>
          <w:highlight w:val="none"/>
        </w:rPr>
        <w:t>六、完善消防救援体系建设</w:t>
      </w:r>
    </w:p>
    <w:p w14:paraId="4B1AAFFA">
      <w:pPr>
        <w:widowControl/>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优化城镇消防安全布局。</w:t>
      </w:r>
      <w:r>
        <w:rPr>
          <w:rFonts w:hint="eastAsia" w:eastAsia="方正仿宋_GBK"/>
          <w:color w:val="auto"/>
          <w:sz w:val="30"/>
          <w:szCs w:val="30"/>
          <w:highlight w:val="none"/>
        </w:rPr>
        <w:t>合理布局易燃易爆危险化学物品场所和设施，实施石油化工企业消防安全提升工程。改善建筑耐火等级低的危旧建筑密集区及消防安全条件差的</w:t>
      </w:r>
      <w:r>
        <w:rPr>
          <w:rFonts w:hint="eastAsia" w:eastAsia="方正仿宋_GBK"/>
          <w:color w:val="auto"/>
          <w:sz w:val="30"/>
          <w:szCs w:val="30"/>
          <w:highlight w:val="none"/>
          <w:lang w:eastAsia="zh-CN"/>
        </w:rPr>
        <w:t>其他</w:t>
      </w:r>
      <w:r>
        <w:rPr>
          <w:rFonts w:hint="eastAsia" w:eastAsia="方正仿宋_GBK"/>
          <w:color w:val="auto"/>
          <w:sz w:val="30"/>
          <w:szCs w:val="30"/>
          <w:highlight w:val="none"/>
        </w:rPr>
        <w:t>地区消防安全条件，实施老旧小区消防安全改造工程。实施高层建筑消防安全综合整治工程和大型商业综合体达标创建工程。加强历史城区、历史地段、历史文化街区、文物保护单位消防安全防护，提升</w:t>
      </w:r>
      <w:r>
        <w:rPr>
          <w:rFonts w:eastAsia="方正仿宋_GBK"/>
          <w:color w:val="auto"/>
          <w:sz w:val="30"/>
          <w:szCs w:val="30"/>
          <w:highlight w:val="none"/>
        </w:rPr>
        <w:t>“</w:t>
      </w:r>
      <w:r>
        <w:rPr>
          <w:rFonts w:hint="eastAsia" w:eastAsia="方正仿宋_GBK"/>
          <w:color w:val="auto"/>
          <w:sz w:val="30"/>
          <w:szCs w:val="30"/>
          <w:highlight w:val="none"/>
        </w:rPr>
        <w:t>四名一文一传</w:t>
      </w:r>
      <w:r>
        <w:rPr>
          <w:rFonts w:eastAsia="方正仿宋_GBK"/>
          <w:color w:val="auto"/>
          <w:sz w:val="30"/>
          <w:szCs w:val="30"/>
          <w:highlight w:val="none"/>
        </w:rPr>
        <w:t>”</w:t>
      </w:r>
      <w:r>
        <w:rPr>
          <w:rFonts w:hint="eastAsia" w:eastAsia="方正仿宋_GBK"/>
          <w:color w:val="auto"/>
          <w:sz w:val="30"/>
          <w:szCs w:val="30"/>
          <w:highlight w:val="none"/>
        </w:rPr>
        <w:t>消防安全水平。</w:t>
      </w:r>
    </w:p>
    <w:p w14:paraId="59DDF93D">
      <w:pPr>
        <w:widowControl/>
        <w:ind w:firstLine="600"/>
        <w:jc w:val="left"/>
        <w:rPr>
          <w:color w:val="auto"/>
          <w:sz w:val="30"/>
          <w:szCs w:val="30"/>
          <w:highlight w:val="none"/>
        </w:rPr>
      </w:pPr>
      <w:r>
        <w:rPr>
          <w:rFonts w:hint="eastAsia" w:ascii="方正楷体_GBK" w:eastAsia="方正楷体_GBK"/>
          <w:color w:val="auto"/>
          <w:sz w:val="30"/>
          <w:szCs w:val="30"/>
          <w:highlight w:val="none"/>
        </w:rPr>
        <w:t>完善消防站体系建设。</w:t>
      </w:r>
      <w:r>
        <w:rPr>
          <w:rFonts w:hint="eastAsia" w:eastAsia="方正仿宋_GBK"/>
          <w:color w:val="auto"/>
          <w:sz w:val="30"/>
          <w:szCs w:val="30"/>
          <w:highlight w:val="none"/>
        </w:rPr>
        <w:t>保障楚雄市特勤消防站、战勤消防站建设空间，因地制宜建成城市一级消防救援站为中心、普通消防救援站或小型消防救援站为辐射的覆盖网络。</w:t>
      </w:r>
      <w:r>
        <w:rPr>
          <w:rFonts w:hint="eastAsia" w:eastAsia="方正仿宋_GBK"/>
          <w:color w:val="auto"/>
          <w:sz w:val="30"/>
          <w:szCs w:val="30"/>
          <w:highlight w:val="none"/>
          <w:u w:val="none"/>
        </w:rPr>
        <w:t>消防站布局达到接到出动指令后到达责任区边缘的时间不超过5分钟。</w:t>
      </w:r>
      <w:r>
        <w:rPr>
          <w:rFonts w:hint="eastAsia" w:eastAsia="方正仿宋_GBK"/>
          <w:color w:val="auto"/>
          <w:sz w:val="30"/>
          <w:szCs w:val="30"/>
          <w:highlight w:val="none"/>
        </w:rPr>
        <w:t>加快推进消防训练基地和训练设施建设。实施乡镇政府专职消防队和志愿消防队达标创建工程。推进村庄微型消防站、取水平台或人工储水设施建设。</w:t>
      </w:r>
    </w:p>
    <w:p w14:paraId="33AF76D2">
      <w:pPr>
        <w:ind w:firstLine="600"/>
        <w:jc w:val="left"/>
        <w:rPr>
          <w:rFonts w:ascii="仿宋_GB2312" w:hAnsi="楷体"/>
          <w:color w:val="auto"/>
          <w:sz w:val="30"/>
          <w:szCs w:val="30"/>
          <w:highlight w:val="none"/>
        </w:rPr>
      </w:pPr>
      <w:r>
        <w:rPr>
          <w:rFonts w:hint="eastAsia" w:ascii="方正楷体_GBK" w:eastAsia="方正楷体_GBK"/>
          <w:color w:val="auto"/>
          <w:sz w:val="30"/>
          <w:szCs w:val="30"/>
          <w:highlight w:val="none"/>
        </w:rPr>
        <w:t>加强消防供水体系和消防通道建设。</w:t>
      </w:r>
      <w:r>
        <w:rPr>
          <w:rFonts w:hint="eastAsia" w:eastAsia="方正仿宋_GBK"/>
          <w:color w:val="auto"/>
          <w:sz w:val="30"/>
          <w:szCs w:val="30"/>
          <w:highlight w:val="none"/>
        </w:rPr>
        <w:t>实施市政消防供水系统升级改造工程，加快城市新建道路市政管网和市政消火栓建设，推进城市河道、水库等天然水源消防取水平台建设。市政消火栓应当与公共基础设施同步规划、同步设计、同步建设，城市道路新建和改造工程应按城市市政道路设计规范合理设置消防设施。</w:t>
      </w:r>
      <w:r>
        <w:rPr>
          <w:rFonts w:eastAsia="方正仿宋_GBK"/>
          <w:color w:val="auto"/>
          <w:sz w:val="30"/>
          <w:szCs w:val="30"/>
          <w:highlight w:val="none"/>
        </w:rPr>
        <w:t>城镇镇区内</w:t>
      </w:r>
      <w:r>
        <w:rPr>
          <w:rFonts w:hint="eastAsia" w:eastAsia="方正仿宋_GBK"/>
          <w:color w:val="auto"/>
          <w:sz w:val="30"/>
          <w:szCs w:val="30"/>
          <w:highlight w:val="none"/>
        </w:rPr>
        <w:t>建设项目</w:t>
      </w:r>
      <w:r>
        <w:rPr>
          <w:rFonts w:eastAsia="方正仿宋_GBK"/>
          <w:color w:val="auto"/>
          <w:sz w:val="30"/>
          <w:szCs w:val="30"/>
          <w:highlight w:val="none"/>
        </w:rPr>
        <w:t>应合理规划建设和改造消防车通道，</w:t>
      </w:r>
      <w:r>
        <w:rPr>
          <w:rFonts w:hint="eastAsia" w:eastAsia="方正仿宋_GBK"/>
          <w:color w:val="auto"/>
          <w:sz w:val="30"/>
          <w:szCs w:val="30"/>
          <w:highlight w:val="none"/>
        </w:rPr>
        <w:t>保障</w:t>
      </w:r>
      <w:r>
        <w:rPr>
          <w:rFonts w:eastAsia="方正仿宋_GBK"/>
          <w:color w:val="auto"/>
          <w:sz w:val="30"/>
          <w:szCs w:val="30"/>
          <w:highlight w:val="none"/>
        </w:rPr>
        <w:t>消防车道的畅通。</w:t>
      </w:r>
      <w:r>
        <w:rPr>
          <w:rFonts w:hint="eastAsia" w:eastAsia="方正仿宋_GBK"/>
          <w:color w:val="auto"/>
          <w:sz w:val="30"/>
          <w:szCs w:val="30"/>
          <w:highlight w:val="none"/>
        </w:rPr>
        <w:t>推进村庄消防供水体系和消防通道建设。</w:t>
      </w:r>
    </w:p>
    <w:p w14:paraId="6D6E3213">
      <w:pPr>
        <w:widowControl/>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实施消防通信数字化建设。</w:t>
      </w:r>
      <w:r>
        <w:rPr>
          <w:rFonts w:eastAsia="方正仿宋_GBK"/>
          <w:color w:val="auto"/>
          <w:sz w:val="30"/>
          <w:szCs w:val="30"/>
          <w:highlight w:val="none"/>
        </w:rPr>
        <w:t>实施大数据建设工程</w:t>
      </w:r>
      <w:r>
        <w:rPr>
          <w:rFonts w:hint="eastAsia" w:eastAsia="方正仿宋_GBK"/>
          <w:color w:val="auto"/>
          <w:sz w:val="30"/>
          <w:szCs w:val="30"/>
          <w:highlight w:val="none"/>
        </w:rPr>
        <w:t>，保障</w:t>
      </w:r>
      <w:r>
        <w:rPr>
          <w:rFonts w:eastAsia="方正仿宋_GBK"/>
          <w:color w:val="auto"/>
          <w:sz w:val="30"/>
          <w:szCs w:val="30"/>
          <w:highlight w:val="none"/>
        </w:rPr>
        <w:t>省</w:t>
      </w:r>
      <w:r>
        <w:rPr>
          <w:rFonts w:hint="eastAsia" w:eastAsia="方正仿宋_GBK"/>
          <w:color w:val="auto"/>
          <w:sz w:val="30"/>
          <w:szCs w:val="30"/>
          <w:highlight w:val="none"/>
        </w:rPr>
        <w:t>、</w:t>
      </w:r>
      <w:r>
        <w:rPr>
          <w:rFonts w:eastAsia="方正仿宋_GBK"/>
          <w:color w:val="auto"/>
          <w:sz w:val="30"/>
          <w:szCs w:val="30"/>
          <w:highlight w:val="none"/>
        </w:rPr>
        <w:t>州大数据中心互联互通。</w:t>
      </w:r>
      <w:r>
        <w:rPr>
          <w:rFonts w:hint="eastAsia" w:eastAsia="方正仿宋_GBK"/>
          <w:color w:val="auto"/>
          <w:sz w:val="30"/>
          <w:szCs w:val="30"/>
          <w:highlight w:val="none"/>
        </w:rPr>
        <w:t>建设</w:t>
      </w:r>
      <w:r>
        <w:rPr>
          <w:rFonts w:eastAsia="方正仿宋_GBK"/>
          <w:color w:val="auto"/>
          <w:sz w:val="30"/>
          <w:szCs w:val="30"/>
          <w:highlight w:val="none"/>
        </w:rPr>
        <w:t>消防物联网监测系统工程</w:t>
      </w:r>
      <w:r>
        <w:rPr>
          <w:rFonts w:hint="eastAsia" w:eastAsia="方正仿宋_GBK"/>
          <w:color w:val="auto"/>
          <w:sz w:val="30"/>
          <w:szCs w:val="30"/>
          <w:highlight w:val="none"/>
        </w:rPr>
        <w:t>，</w:t>
      </w:r>
      <w:r>
        <w:rPr>
          <w:rFonts w:eastAsia="方正仿宋_GBK"/>
          <w:color w:val="auto"/>
          <w:sz w:val="30"/>
          <w:szCs w:val="30"/>
          <w:highlight w:val="none"/>
        </w:rPr>
        <w:t>实现全州消防安全远程智能</w:t>
      </w:r>
      <w:r>
        <w:rPr>
          <w:rFonts w:hint="eastAsia" w:eastAsia="方正仿宋_GBK"/>
          <w:color w:val="auto"/>
          <w:sz w:val="30"/>
          <w:szCs w:val="30"/>
          <w:highlight w:val="none"/>
        </w:rPr>
        <w:t>监管。</w:t>
      </w:r>
      <w:r>
        <w:rPr>
          <w:rFonts w:eastAsia="方正仿宋_GBK"/>
          <w:color w:val="auto"/>
          <w:sz w:val="30"/>
          <w:szCs w:val="30"/>
          <w:highlight w:val="none"/>
        </w:rPr>
        <w:t>实施智能接处警和指挥系统升级改造工程。</w:t>
      </w:r>
      <w:r>
        <w:rPr>
          <w:rFonts w:hint="eastAsia" w:eastAsia="方正仿宋_GBK"/>
          <w:color w:val="auto"/>
          <w:sz w:val="30"/>
          <w:szCs w:val="30"/>
          <w:highlight w:val="none"/>
        </w:rPr>
        <w:t>建设</w:t>
      </w:r>
      <w:r>
        <w:rPr>
          <w:rFonts w:eastAsia="方正仿宋_GBK"/>
          <w:color w:val="auto"/>
          <w:sz w:val="30"/>
          <w:szCs w:val="30"/>
          <w:highlight w:val="none"/>
        </w:rPr>
        <w:t>应急通信体系工程</w:t>
      </w:r>
      <w:r>
        <w:rPr>
          <w:rFonts w:hint="eastAsia" w:eastAsia="方正仿宋_GBK"/>
          <w:color w:val="auto"/>
          <w:sz w:val="30"/>
          <w:szCs w:val="30"/>
          <w:highlight w:val="none"/>
        </w:rPr>
        <w:t>，</w:t>
      </w:r>
      <w:r>
        <w:rPr>
          <w:rFonts w:eastAsia="方正仿宋_GBK"/>
          <w:color w:val="auto"/>
          <w:sz w:val="30"/>
          <w:szCs w:val="30"/>
          <w:highlight w:val="none"/>
        </w:rPr>
        <w:t>有效提升“</w:t>
      </w:r>
      <w:r>
        <w:rPr>
          <w:rFonts w:hint="eastAsia" w:eastAsia="方正仿宋_GBK"/>
          <w:color w:val="auto"/>
          <w:sz w:val="30"/>
          <w:szCs w:val="30"/>
          <w:highlight w:val="none"/>
        </w:rPr>
        <w:t>全天候、全地域、全灾种</w:t>
      </w:r>
      <w:r>
        <w:rPr>
          <w:rFonts w:eastAsia="方正仿宋_GBK"/>
          <w:color w:val="auto"/>
          <w:sz w:val="30"/>
          <w:szCs w:val="30"/>
          <w:highlight w:val="none"/>
        </w:rPr>
        <w:t>”</w:t>
      </w:r>
      <w:r>
        <w:rPr>
          <w:rFonts w:hint="eastAsia" w:eastAsia="方正仿宋_GBK"/>
          <w:color w:val="auto"/>
          <w:sz w:val="30"/>
          <w:szCs w:val="30"/>
          <w:highlight w:val="none"/>
        </w:rPr>
        <w:t xml:space="preserve">应急通信保障能力。 </w:t>
      </w:r>
    </w:p>
    <w:p w14:paraId="3783F04C">
      <w:pPr>
        <w:ind w:firstLine="600"/>
        <w:jc w:val="left"/>
        <w:rPr>
          <w:rFonts w:eastAsia="方正仿宋_GBK"/>
          <w:color w:val="auto"/>
          <w:sz w:val="30"/>
          <w:szCs w:val="30"/>
          <w:highlight w:val="none"/>
        </w:rPr>
      </w:pPr>
      <w:r>
        <w:rPr>
          <w:rFonts w:hint="eastAsia" w:ascii="方正楷体_GBK" w:eastAsia="方正楷体_GBK"/>
          <w:color w:val="auto"/>
          <w:sz w:val="30"/>
          <w:szCs w:val="30"/>
          <w:highlight w:val="none"/>
        </w:rPr>
        <w:t>优化消防救援装备建设。</w:t>
      </w:r>
      <w:r>
        <w:rPr>
          <w:rFonts w:hint="eastAsia" w:eastAsia="方正仿宋_GBK"/>
          <w:color w:val="auto"/>
          <w:sz w:val="30"/>
          <w:szCs w:val="30"/>
          <w:highlight w:val="none"/>
        </w:rPr>
        <w:t>实施应急救援常规装备提质升级工程，保障全州所有消防救援站应急救援装备器材保持</w:t>
      </w:r>
      <w:r>
        <w:rPr>
          <w:rFonts w:eastAsia="方正仿宋_GBK"/>
          <w:color w:val="auto"/>
          <w:sz w:val="30"/>
          <w:szCs w:val="30"/>
          <w:highlight w:val="none"/>
        </w:rPr>
        <w:t>100%</w:t>
      </w:r>
      <w:r>
        <w:rPr>
          <w:rFonts w:hint="eastAsia" w:eastAsia="方正仿宋_GBK"/>
          <w:color w:val="auto"/>
          <w:sz w:val="30"/>
          <w:szCs w:val="30"/>
          <w:highlight w:val="none"/>
        </w:rPr>
        <w:t>配备率和</w:t>
      </w:r>
      <w:r>
        <w:rPr>
          <w:rFonts w:eastAsia="方正仿宋_GBK"/>
          <w:color w:val="auto"/>
          <w:sz w:val="30"/>
          <w:szCs w:val="30"/>
          <w:highlight w:val="none"/>
        </w:rPr>
        <w:t>100%</w:t>
      </w:r>
      <w:r>
        <w:rPr>
          <w:rFonts w:hint="eastAsia" w:eastAsia="方正仿宋_GBK"/>
          <w:color w:val="auto"/>
          <w:sz w:val="30"/>
          <w:szCs w:val="30"/>
          <w:highlight w:val="none"/>
        </w:rPr>
        <w:t>完好率。实施特种灾害装备配备达标建设工程，按照特种灾害消防专业救援队伍建设标准，加强应急救援装备配备，提升应对各类复杂灾情的实战能力。</w:t>
      </w:r>
    </w:p>
    <w:p w14:paraId="43E94D9A">
      <w:pPr>
        <w:pStyle w:val="6"/>
        <w:rPr>
          <w:color w:val="auto"/>
          <w:highlight w:val="none"/>
        </w:rPr>
      </w:pPr>
      <w:r>
        <w:rPr>
          <w:rFonts w:hint="eastAsia"/>
          <w:color w:val="auto"/>
          <w:highlight w:val="none"/>
          <w:lang w:val="en-US" w:eastAsia="zh-CN"/>
        </w:rPr>
        <w:t>七</w:t>
      </w:r>
      <w:r>
        <w:rPr>
          <w:rFonts w:hint="eastAsia"/>
          <w:color w:val="auto"/>
          <w:highlight w:val="none"/>
        </w:rPr>
        <w:t>、巩固</w:t>
      </w:r>
      <w:r>
        <w:rPr>
          <w:color w:val="auto"/>
          <w:highlight w:val="none"/>
        </w:rPr>
        <w:t>园区</w:t>
      </w:r>
      <w:r>
        <w:rPr>
          <w:rFonts w:hint="eastAsia"/>
          <w:color w:val="auto"/>
          <w:highlight w:val="none"/>
        </w:rPr>
        <w:t>灾害预防</w:t>
      </w:r>
    </w:p>
    <w:p w14:paraId="4DEBDF1D">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制定</w:t>
      </w:r>
      <w:r>
        <w:rPr>
          <w:rFonts w:ascii="方正楷体_GBK" w:eastAsia="方正楷体_GBK"/>
          <w:color w:val="auto"/>
          <w:sz w:val="30"/>
          <w:szCs w:val="30"/>
          <w:highlight w:val="none"/>
        </w:rPr>
        <w:t>重大事故定量风险评价</w:t>
      </w:r>
      <w:r>
        <w:rPr>
          <w:rFonts w:hint="eastAsia" w:ascii="方正楷体_GBK" w:eastAsia="方正楷体_GBK"/>
          <w:color w:val="auto"/>
          <w:sz w:val="30"/>
          <w:szCs w:val="30"/>
          <w:highlight w:val="none"/>
        </w:rPr>
        <w:t>。</w:t>
      </w:r>
      <w:r>
        <w:rPr>
          <w:rFonts w:eastAsia="方正仿宋_GBK"/>
          <w:color w:val="auto"/>
          <w:sz w:val="30"/>
          <w:szCs w:val="30"/>
          <w:highlight w:val="none"/>
        </w:rPr>
        <w:t>利用定量风险评价软件进行园区整体定量风险评价，并制定相应应急预案。</w:t>
      </w:r>
    </w:p>
    <w:p w14:paraId="6CDB37EB">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优化园区</w:t>
      </w:r>
      <w:r>
        <w:rPr>
          <w:rFonts w:ascii="方正楷体_GBK" w:eastAsia="方正楷体_GBK"/>
          <w:color w:val="auto"/>
          <w:sz w:val="30"/>
          <w:szCs w:val="30"/>
          <w:highlight w:val="none"/>
        </w:rPr>
        <w:t>安全布局</w:t>
      </w:r>
      <w:r>
        <w:rPr>
          <w:rFonts w:hint="eastAsia" w:ascii="方正楷体_GBK" w:eastAsia="方正楷体_GBK"/>
          <w:color w:val="auto"/>
          <w:sz w:val="30"/>
          <w:szCs w:val="30"/>
          <w:highlight w:val="none"/>
        </w:rPr>
        <w:t>。</w:t>
      </w:r>
      <w:r>
        <w:rPr>
          <w:rFonts w:eastAsia="方正仿宋_GBK"/>
          <w:color w:val="auto"/>
          <w:sz w:val="30"/>
          <w:szCs w:val="30"/>
          <w:highlight w:val="none"/>
        </w:rPr>
        <w:t>在园区的总体布局中，必须将生产、储存易燃、易爆、有毒危险品的工厂设在城市边缘的独立安全地区，并与人员密集的公共建筑保持规定的安全距离</w:t>
      </w:r>
      <w:r>
        <w:rPr>
          <w:rFonts w:hint="eastAsia" w:eastAsia="方正仿宋_GBK"/>
          <w:color w:val="auto"/>
          <w:sz w:val="30"/>
          <w:szCs w:val="30"/>
          <w:highlight w:val="none"/>
        </w:rPr>
        <w:t>；</w:t>
      </w:r>
      <w:r>
        <w:rPr>
          <w:rFonts w:eastAsia="方正仿宋_GBK"/>
          <w:color w:val="auto"/>
          <w:sz w:val="30"/>
          <w:szCs w:val="30"/>
          <w:highlight w:val="none"/>
        </w:rPr>
        <w:t>对易燃、易爆、有毒和可能散发易燃、易爆、有毒气体、蒸汽或粉尘的工厂，要布置在当地常年主导风向的下风侧，并且是人口密集度较低的安全地带</w:t>
      </w:r>
      <w:r>
        <w:rPr>
          <w:rFonts w:hint="eastAsia" w:eastAsia="方正仿宋_GBK"/>
          <w:color w:val="auto"/>
          <w:sz w:val="30"/>
          <w:szCs w:val="30"/>
          <w:highlight w:val="none"/>
        </w:rPr>
        <w:t>；</w:t>
      </w:r>
      <w:r>
        <w:rPr>
          <w:rFonts w:eastAsia="方正仿宋_GBK"/>
          <w:color w:val="auto"/>
          <w:sz w:val="30"/>
          <w:szCs w:val="30"/>
          <w:highlight w:val="none"/>
        </w:rPr>
        <w:t>工业区与居民区之间应设置一定安全距离的隔离带，起到阻止火灾蔓延的分隔作用</w:t>
      </w:r>
      <w:r>
        <w:rPr>
          <w:rFonts w:hint="eastAsia" w:eastAsia="方正仿宋_GBK"/>
          <w:color w:val="auto"/>
          <w:sz w:val="30"/>
          <w:szCs w:val="30"/>
          <w:highlight w:val="none"/>
        </w:rPr>
        <w:t>；</w:t>
      </w:r>
      <w:r>
        <w:rPr>
          <w:rFonts w:eastAsia="方正仿宋_GBK"/>
          <w:color w:val="auto"/>
          <w:sz w:val="30"/>
          <w:szCs w:val="30"/>
          <w:highlight w:val="none"/>
        </w:rPr>
        <w:t>配合做好楚雄州境内石油</w:t>
      </w:r>
      <w:r>
        <w:rPr>
          <w:rFonts w:hint="eastAsia" w:eastAsia="方正仿宋_GBK"/>
          <w:color w:val="auto"/>
          <w:sz w:val="30"/>
          <w:szCs w:val="30"/>
          <w:highlight w:val="none"/>
        </w:rPr>
        <w:t>、</w:t>
      </w:r>
      <w:r>
        <w:rPr>
          <w:rFonts w:eastAsia="方正仿宋_GBK"/>
          <w:color w:val="auto"/>
          <w:sz w:val="30"/>
          <w:szCs w:val="30"/>
          <w:highlight w:val="none"/>
        </w:rPr>
        <w:t>天然气及昆明至大理成品油管道项目建设</w:t>
      </w:r>
      <w:r>
        <w:rPr>
          <w:rFonts w:hint="eastAsia" w:eastAsia="方正仿宋_GBK"/>
          <w:color w:val="auto"/>
          <w:sz w:val="30"/>
          <w:szCs w:val="30"/>
          <w:highlight w:val="none"/>
        </w:rPr>
        <w:t>；</w:t>
      </w:r>
      <w:r>
        <w:rPr>
          <w:rFonts w:eastAsia="方正仿宋_GBK"/>
          <w:color w:val="auto"/>
          <w:sz w:val="30"/>
          <w:szCs w:val="30"/>
          <w:highlight w:val="none"/>
        </w:rPr>
        <w:t>州域范围内合理布置危险品仓库。</w:t>
      </w:r>
    </w:p>
    <w:p w14:paraId="30FD3127">
      <w:pPr>
        <w:pStyle w:val="6"/>
        <w:rPr>
          <w:color w:val="auto"/>
          <w:highlight w:val="none"/>
        </w:rPr>
      </w:pPr>
      <w:r>
        <w:rPr>
          <w:rFonts w:hint="eastAsia"/>
          <w:color w:val="auto"/>
          <w:highlight w:val="none"/>
          <w:lang w:val="en-US" w:eastAsia="zh-CN"/>
        </w:rPr>
        <w:t>八</w:t>
      </w:r>
      <w:r>
        <w:rPr>
          <w:color w:val="auto"/>
          <w:highlight w:val="none"/>
        </w:rPr>
        <w:t>、保障公共卫生安全</w:t>
      </w:r>
    </w:p>
    <w:p w14:paraId="7C536587">
      <w:pPr>
        <w:ind w:firstLine="600"/>
        <w:jc w:val="left"/>
        <w:rPr>
          <w:rFonts w:eastAsia="方正仿宋_GBK"/>
          <w:color w:val="auto"/>
          <w:sz w:val="30"/>
          <w:szCs w:val="30"/>
          <w:highlight w:val="none"/>
        </w:rPr>
      </w:pPr>
      <w:r>
        <w:rPr>
          <w:rFonts w:eastAsia="方正仿宋_GBK"/>
          <w:color w:val="auto"/>
          <w:sz w:val="30"/>
          <w:szCs w:val="30"/>
          <w:highlight w:val="none"/>
        </w:rPr>
        <w:t>城镇公共卫生设施体系建设应与城市定位相匹配，与周边乡村、邻近城镇、旅游度假等实际服务人口需求相匹配。提高卫生设施配套标准，通过加强基础设施建设，加强应对重大突发公共卫生事件的应急处置能力。</w:t>
      </w:r>
    </w:p>
    <w:p w14:paraId="266AED5F">
      <w:pPr>
        <w:ind w:firstLine="600"/>
        <w:jc w:val="left"/>
        <w:rPr>
          <w:color w:val="auto"/>
          <w:highlight w:val="none"/>
        </w:rPr>
      </w:pPr>
      <w:r>
        <w:rPr>
          <w:rFonts w:hint="eastAsia" w:eastAsia="方正仿宋_GBK"/>
          <w:color w:val="auto"/>
          <w:sz w:val="30"/>
          <w:szCs w:val="30"/>
          <w:highlight w:val="none"/>
        </w:rPr>
        <w:t>加强空间规划与公共卫生建设的衔接，保障州级公共卫生中心建设空间，预留应急使用的公共安全设施空间，结合规划留白、远期预留公共设施和市政设施用地，充分考虑用地兼容性，配备相应的设施场所弹性转化机制。</w:t>
      </w:r>
    </w:p>
    <w:p w14:paraId="4F2E5A0D">
      <w:pPr>
        <w:pStyle w:val="63"/>
        <w:rPr>
          <w:color w:val="auto"/>
          <w:highlight w:val="none"/>
        </w:rPr>
        <w:sectPr>
          <w:pgSz w:w="11906" w:h="16838"/>
          <w:pgMar w:top="2041" w:right="1644" w:bottom="1871" w:left="1644" w:header="851" w:footer="992" w:gutter="0"/>
          <w:cols w:space="425" w:num="1"/>
          <w:docGrid w:type="linesAndChars" w:linePitch="587" w:charSpace="0"/>
        </w:sectPr>
      </w:pPr>
      <w:bookmarkStart w:id="256" w:name="_Toc131433357"/>
      <w:bookmarkStart w:id="257" w:name="_Toc13066"/>
      <w:bookmarkStart w:id="258" w:name="_Toc131433191"/>
    </w:p>
    <w:p w14:paraId="64598170">
      <w:pPr>
        <w:pStyle w:val="63"/>
        <w:rPr>
          <w:color w:val="auto"/>
          <w:highlight w:val="none"/>
        </w:rPr>
      </w:pPr>
      <w:bookmarkStart w:id="259" w:name="_Toc184639406"/>
      <w:r>
        <w:rPr>
          <w:color w:val="auto"/>
          <w:highlight w:val="none"/>
        </w:rPr>
        <w:t>第</w:t>
      </w:r>
      <w:r>
        <w:rPr>
          <w:rFonts w:hint="eastAsia"/>
          <w:color w:val="auto"/>
          <w:highlight w:val="none"/>
        </w:rPr>
        <w:t>九</w:t>
      </w:r>
      <w:r>
        <w:rPr>
          <w:color w:val="auto"/>
          <w:highlight w:val="none"/>
        </w:rPr>
        <w:t>章 加强区域合作</w:t>
      </w:r>
      <w:bookmarkEnd w:id="259"/>
    </w:p>
    <w:p w14:paraId="58C797CD">
      <w:pPr>
        <w:pStyle w:val="5"/>
        <w:rPr>
          <w:rFonts w:eastAsia="方正黑体简体"/>
          <w:color w:val="auto"/>
          <w:highlight w:val="none"/>
        </w:rPr>
      </w:pPr>
      <w:bookmarkStart w:id="260" w:name="_Toc131433178"/>
      <w:bookmarkStart w:id="261" w:name="_Toc20740"/>
      <w:bookmarkStart w:id="262" w:name="_Toc131433344"/>
      <w:bookmarkStart w:id="263" w:name="_Toc184639407"/>
      <w:r>
        <w:rPr>
          <w:color w:val="auto"/>
          <w:highlight w:val="none"/>
        </w:rPr>
        <w:t>第一节</w:t>
      </w:r>
      <w:r>
        <w:rPr>
          <w:rFonts w:eastAsia="方正黑体简体"/>
          <w:color w:val="auto"/>
          <w:highlight w:val="none"/>
        </w:rPr>
        <w:t xml:space="preserve"> </w:t>
      </w:r>
      <w:r>
        <w:rPr>
          <w:color w:val="auto"/>
          <w:highlight w:val="none"/>
        </w:rPr>
        <w:t>全面建设</w:t>
      </w:r>
      <w:bookmarkEnd w:id="260"/>
      <w:bookmarkEnd w:id="261"/>
      <w:bookmarkEnd w:id="262"/>
      <w:r>
        <w:rPr>
          <w:rFonts w:hint="eastAsia"/>
          <w:color w:val="auto"/>
          <w:highlight w:val="none"/>
        </w:rPr>
        <w:t>区域</w:t>
      </w:r>
      <w:r>
        <w:rPr>
          <w:color w:val="auto"/>
          <w:highlight w:val="none"/>
        </w:rPr>
        <w:t>性枢纽节点</w:t>
      </w:r>
      <w:bookmarkEnd w:id="263"/>
    </w:p>
    <w:p w14:paraId="7C1785CF">
      <w:pPr>
        <w:pStyle w:val="6"/>
        <w:rPr>
          <w:color w:val="auto"/>
          <w:highlight w:val="none"/>
        </w:rPr>
      </w:pPr>
      <w:r>
        <w:rPr>
          <w:color w:val="auto"/>
          <w:highlight w:val="none"/>
        </w:rPr>
        <w:t>一、</w:t>
      </w:r>
      <w:r>
        <w:rPr>
          <w:rFonts w:hint="eastAsia"/>
          <w:color w:val="auto"/>
          <w:highlight w:val="none"/>
        </w:rPr>
        <w:t>提升对外开放水平</w:t>
      </w:r>
    </w:p>
    <w:p w14:paraId="2D755D72">
      <w:pPr>
        <w:ind w:firstLine="600"/>
        <w:jc w:val="left"/>
        <w:rPr>
          <w:rFonts w:eastAsia="方正仿宋_GBK"/>
          <w:color w:val="auto"/>
          <w:sz w:val="30"/>
          <w:szCs w:val="30"/>
          <w:highlight w:val="none"/>
        </w:rPr>
      </w:pPr>
      <w:r>
        <w:rPr>
          <w:rFonts w:hint="eastAsia" w:eastAsia="方正仿宋_GBK"/>
          <w:color w:val="auto"/>
          <w:sz w:val="30"/>
          <w:szCs w:val="30"/>
          <w:highlight w:val="none"/>
        </w:rPr>
        <w:t>发挥楚雄州连接“一带一路”、中国—中南半岛和孟中印缅经济走廊的重要枢纽作用，衔接泛亚国际通道，强化楚雄面向缅甸、老挝的出国通道，推动与南亚东南亚的互联互通及国际经济合作，加强国际产能合作，协同打造面向南亚东南亚的区域性进出口加工基地</w:t>
      </w:r>
      <w:r>
        <w:rPr>
          <w:rFonts w:eastAsia="方正仿宋_GBK"/>
          <w:color w:val="auto"/>
          <w:sz w:val="30"/>
          <w:szCs w:val="30"/>
          <w:highlight w:val="none"/>
        </w:rPr>
        <w:t>。</w:t>
      </w:r>
    </w:p>
    <w:p w14:paraId="0A8EB303">
      <w:pPr>
        <w:pStyle w:val="6"/>
        <w:rPr>
          <w:color w:val="auto"/>
          <w:highlight w:val="none"/>
        </w:rPr>
      </w:pPr>
      <w:r>
        <w:rPr>
          <w:color w:val="auto"/>
          <w:highlight w:val="none"/>
        </w:rPr>
        <w:t>二、</w:t>
      </w:r>
      <w:r>
        <w:rPr>
          <w:rFonts w:hint="eastAsia"/>
          <w:color w:val="auto"/>
          <w:highlight w:val="none"/>
        </w:rPr>
        <w:t>融入全国全省发展</w:t>
      </w:r>
    </w:p>
    <w:p w14:paraId="1F763057">
      <w:pPr>
        <w:ind w:firstLine="600"/>
        <w:jc w:val="left"/>
        <w:rPr>
          <w:rFonts w:eastAsia="方正仿宋_GBK"/>
          <w:color w:val="auto"/>
          <w:sz w:val="30"/>
          <w:szCs w:val="30"/>
          <w:highlight w:val="none"/>
        </w:rPr>
      </w:pPr>
      <w:r>
        <w:rPr>
          <w:rFonts w:hint="eastAsia" w:eastAsia="方正仿宋_GBK"/>
          <w:color w:val="auto"/>
          <w:sz w:val="30"/>
          <w:szCs w:val="30"/>
          <w:highlight w:val="none"/>
        </w:rPr>
        <w:t>发挥楚雄州连接“长江经济带”、成渝地区双城经济圈的重要枢纽作用，依托G5京昆高速及成昆铁路，加强与攀枝花的交通连接，发挥绿色农产品优势，主动为攀枝花提供农副产品，承接产业转移，加强旅游和服务业协作，利用交通优势与成渝地区开展物流等产业协作，实现基础设施联通升级。积极融入云南省空间战略体系，接轨昆明、辐射滇西，以楚雄国家级高新区为载体，聚焦特色农业、绿色能源与绿色制造，实现与昆明、大理、玉溪、攀枝花等市的错位发展、互补融合、联动支撑，促进多方共赢</w:t>
      </w:r>
      <w:r>
        <w:rPr>
          <w:rFonts w:eastAsia="方正仿宋_GBK"/>
          <w:color w:val="auto"/>
          <w:sz w:val="30"/>
          <w:szCs w:val="30"/>
          <w:highlight w:val="none"/>
        </w:rPr>
        <w:t>。</w:t>
      </w:r>
    </w:p>
    <w:p w14:paraId="14294091">
      <w:pPr>
        <w:pStyle w:val="5"/>
        <w:rPr>
          <w:rFonts w:eastAsia="方正黑体简体"/>
          <w:color w:val="auto"/>
          <w:highlight w:val="none"/>
        </w:rPr>
      </w:pPr>
      <w:bookmarkStart w:id="264" w:name="_Toc131433179"/>
      <w:bookmarkStart w:id="265" w:name="_Toc184639408"/>
      <w:bookmarkStart w:id="266" w:name="_Toc131433345"/>
      <w:bookmarkStart w:id="267" w:name="_Toc28547"/>
      <w:r>
        <w:rPr>
          <w:color w:val="auto"/>
          <w:highlight w:val="none"/>
        </w:rPr>
        <w:t>第二节</w:t>
      </w:r>
      <w:r>
        <w:rPr>
          <w:rFonts w:hint="eastAsia"/>
          <w:color w:val="auto"/>
          <w:highlight w:val="none"/>
        </w:rPr>
        <w:t xml:space="preserve"> 推动与周边省州市协同发展</w:t>
      </w:r>
      <w:bookmarkEnd w:id="264"/>
      <w:bookmarkEnd w:id="265"/>
      <w:bookmarkEnd w:id="266"/>
      <w:bookmarkEnd w:id="267"/>
    </w:p>
    <w:p w14:paraId="0D9EAEAE">
      <w:pPr>
        <w:pStyle w:val="6"/>
        <w:rPr>
          <w:color w:val="auto"/>
          <w:highlight w:val="none"/>
        </w:rPr>
      </w:pPr>
      <w:r>
        <w:rPr>
          <w:color w:val="auto"/>
          <w:highlight w:val="none"/>
        </w:rPr>
        <w:t>一、</w:t>
      </w:r>
      <w:r>
        <w:rPr>
          <w:rFonts w:hint="eastAsia"/>
          <w:color w:val="auto"/>
          <w:highlight w:val="none"/>
        </w:rPr>
        <w:t>产业协同互补</w:t>
      </w:r>
    </w:p>
    <w:p w14:paraId="1B9FFEF0">
      <w:pPr>
        <w:ind w:firstLine="600"/>
        <w:rPr>
          <w:color w:val="auto"/>
          <w:sz w:val="30"/>
          <w:szCs w:val="30"/>
          <w:highlight w:val="none"/>
        </w:rPr>
      </w:pPr>
      <w:r>
        <w:rPr>
          <w:rFonts w:hint="eastAsia" w:ascii="方正楷体_GBK" w:eastAsia="方正楷体_GBK"/>
          <w:color w:val="auto"/>
          <w:sz w:val="30"/>
          <w:szCs w:val="30"/>
          <w:highlight w:val="none"/>
        </w:rPr>
        <w:t>积极融入滇中城市群。</w:t>
      </w:r>
      <w:r>
        <w:rPr>
          <w:rFonts w:hint="eastAsia" w:eastAsia="方正仿宋_GBK"/>
          <w:color w:val="auto"/>
          <w:sz w:val="30"/>
          <w:szCs w:val="30"/>
          <w:highlight w:val="none"/>
        </w:rPr>
        <w:t>落实滇中城市群总体定位与分工要求，合作共建楚雄高新区发展核，重点发展冶金、新材料、石化及先进装备制造等产业集群，加快发展旅游文化、现代商贸物流等产业。与滇中产业新区构建产业上下游分工和协作关系，围绕石化、冶金、轻工、医药等重点领域打造沿昆楚高速产业发展带</w:t>
      </w:r>
      <w:r>
        <w:rPr>
          <w:rFonts w:eastAsia="方正仿宋_GBK"/>
          <w:color w:val="auto"/>
          <w:sz w:val="30"/>
          <w:szCs w:val="30"/>
          <w:highlight w:val="none"/>
        </w:rPr>
        <w:t>。</w:t>
      </w:r>
    </w:p>
    <w:p w14:paraId="6403F9BA">
      <w:pPr>
        <w:ind w:firstLine="600"/>
        <w:rPr>
          <w:rFonts w:eastAsia="方正仿宋_GBK"/>
          <w:color w:val="auto"/>
          <w:sz w:val="30"/>
          <w:szCs w:val="30"/>
          <w:highlight w:val="none"/>
        </w:rPr>
      </w:pPr>
      <w:r>
        <w:rPr>
          <w:rFonts w:ascii="方正楷体_GBK" w:eastAsia="方正楷体_GBK"/>
          <w:color w:val="auto"/>
          <w:sz w:val="30"/>
          <w:szCs w:val="30"/>
          <w:highlight w:val="none"/>
        </w:rPr>
        <w:t>携手滇西城镇群。</w:t>
      </w:r>
      <w:r>
        <w:rPr>
          <w:rFonts w:hint="eastAsia" w:eastAsia="方正仿宋_GBK"/>
          <w:color w:val="auto"/>
          <w:sz w:val="30"/>
          <w:szCs w:val="30"/>
          <w:highlight w:val="none"/>
        </w:rPr>
        <w:t>积极与旅游、生态主导的滇西地区错位发展，联合大理、丽江、保山等地区共同打造绿色硅材聚集区，积极开展旅游、文化产业、绿色产业方面的合作，借助楚雄市滇西的交通枢纽和重要商品集散地优势，积极携手大滇西旅游环线，构筑楚雄面向滇西北、滇东南的旅游经济带，承接工业产业转移，联动滇西城镇群开放开发</w:t>
      </w:r>
      <w:r>
        <w:rPr>
          <w:rFonts w:eastAsia="方正仿宋_GBK"/>
          <w:color w:val="auto"/>
          <w:sz w:val="30"/>
          <w:szCs w:val="30"/>
          <w:highlight w:val="none"/>
        </w:rPr>
        <w:t>。</w:t>
      </w:r>
    </w:p>
    <w:p w14:paraId="07904BC9">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推进昆楚一体化。</w:t>
      </w:r>
      <w:r>
        <w:rPr>
          <w:rFonts w:hint="eastAsia" w:eastAsia="方正仿宋_GBK"/>
          <w:color w:val="auto"/>
          <w:sz w:val="30"/>
          <w:szCs w:val="30"/>
          <w:highlight w:val="none"/>
        </w:rPr>
        <w:t>推动形成与昆明</w:t>
      </w:r>
      <w:r>
        <w:rPr>
          <w:rFonts w:eastAsia="方正仿宋_GBK"/>
          <w:color w:val="auto"/>
          <w:sz w:val="30"/>
          <w:szCs w:val="30"/>
          <w:highlight w:val="none"/>
        </w:rPr>
        <w:t>1</w:t>
      </w:r>
      <w:r>
        <w:rPr>
          <w:rFonts w:hint="eastAsia" w:eastAsia="方正仿宋_GBK"/>
          <w:color w:val="auto"/>
          <w:sz w:val="30"/>
          <w:szCs w:val="30"/>
          <w:highlight w:val="none"/>
        </w:rPr>
        <w:t>小时通勤圈，强化资源要素配置，构建昆楚高速产业发展带，重点与昆明在旅游、生物医药、新材料、化工、农副产品加工等方面开展合作，形成承接昆明的产业转移基地、制造业配套基地、现代物流基地和服务省会经济的农副产品供应基地。</w:t>
      </w:r>
    </w:p>
    <w:p w14:paraId="45B8111F">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强化与其他州市联系。</w:t>
      </w:r>
      <w:r>
        <w:rPr>
          <w:rFonts w:hint="eastAsia" w:eastAsia="方正仿宋_GBK"/>
          <w:color w:val="auto"/>
          <w:sz w:val="30"/>
          <w:szCs w:val="30"/>
          <w:highlight w:val="none"/>
        </w:rPr>
        <w:t>与玉溪错位发展，积极发挥烟草之外的生物药业、绿色食品加工业、文化旅游业上的优势，以易门为重点突破，共建园区合作联盟，重点加强生物医药、新材料、智能制造的产业链协同布局，强化楚雄南部与玉溪西部的联系，共同完善滇中外圈层的城际快速干线。加强与普洱产业协作，强化双方的交通联系，构筑楚雄南下的大通道</w:t>
      </w:r>
      <w:r>
        <w:rPr>
          <w:rFonts w:eastAsia="方正仿宋_GBK"/>
          <w:color w:val="auto"/>
          <w:sz w:val="30"/>
          <w:szCs w:val="30"/>
          <w:highlight w:val="none"/>
        </w:rPr>
        <w:t>。</w:t>
      </w:r>
    </w:p>
    <w:p w14:paraId="4175A775">
      <w:pPr>
        <w:ind w:firstLine="600"/>
        <w:rPr>
          <w:rFonts w:eastAsia="方正仿宋_GBK"/>
          <w:color w:val="auto"/>
          <w:sz w:val="30"/>
          <w:szCs w:val="30"/>
          <w:highlight w:val="none"/>
        </w:rPr>
      </w:pPr>
      <w:r>
        <w:rPr>
          <w:rFonts w:ascii="方正楷体_GBK" w:eastAsia="方正楷体_GBK"/>
          <w:color w:val="auto"/>
          <w:sz w:val="30"/>
          <w:szCs w:val="30"/>
          <w:highlight w:val="none"/>
        </w:rPr>
        <w:t>共创旅游新亮点。</w:t>
      </w:r>
      <w:r>
        <w:rPr>
          <w:rFonts w:eastAsia="方正仿宋_GBK"/>
          <w:color w:val="auto"/>
          <w:sz w:val="30"/>
          <w:szCs w:val="30"/>
          <w:highlight w:val="none"/>
        </w:rPr>
        <w:t>围绕四张世界级名片，强化与大滇西旅游环线、成渝地区双城经济圈及周边州市旅游资源整合，共建长江和长征文化公园，联合打造一批康养旅游、生态旅游、民俗旅游、文化旅游、红色旅游、科普旅游等精品线路，捆绑推出大产品，共创旅游新亮点</w:t>
      </w:r>
      <w:r>
        <w:rPr>
          <w:rFonts w:hint="eastAsia" w:eastAsia="方正仿宋_GBK"/>
          <w:color w:val="auto"/>
          <w:sz w:val="30"/>
          <w:szCs w:val="30"/>
          <w:highlight w:val="none"/>
        </w:rPr>
        <w:t>。</w:t>
      </w:r>
    </w:p>
    <w:p w14:paraId="59A5FB22">
      <w:pPr>
        <w:pStyle w:val="6"/>
        <w:rPr>
          <w:color w:val="auto"/>
          <w:highlight w:val="none"/>
        </w:rPr>
      </w:pPr>
      <w:r>
        <w:rPr>
          <w:color w:val="auto"/>
          <w:highlight w:val="none"/>
        </w:rPr>
        <w:t>二、</w:t>
      </w:r>
      <w:r>
        <w:rPr>
          <w:rFonts w:hint="eastAsia"/>
          <w:color w:val="auto"/>
          <w:highlight w:val="none"/>
        </w:rPr>
        <w:t>基础设施互联互通</w:t>
      </w:r>
    </w:p>
    <w:p w14:paraId="4FA03A11">
      <w:pPr>
        <w:ind w:firstLine="600"/>
        <w:jc w:val="left"/>
        <w:rPr>
          <w:rFonts w:eastAsia="方正仿宋_GBK"/>
          <w:color w:val="auto"/>
          <w:sz w:val="30"/>
          <w:szCs w:val="30"/>
          <w:highlight w:val="none"/>
        </w:rPr>
      </w:pPr>
      <w:r>
        <w:rPr>
          <w:rFonts w:hint="eastAsia" w:eastAsia="方正仿宋_GBK"/>
          <w:color w:val="auto"/>
          <w:sz w:val="30"/>
          <w:szCs w:val="30"/>
          <w:highlight w:val="none"/>
        </w:rPr>
        <w:t>发挥区域性枢纽节点作用，建设滇中城市群向西开放的门户和战略枢纽。保障滇中城市群西进大通道（泛亚西线）与成渝城市群南下大通道（连接泛亚中线）的交通运输体系建设，依托横向连接昆明、大理，纵向连接攀枝花和玉溪、普洱的高铁网、高速公路网优化区域空间布局，积极承担对外开放的信息与物流中心功能和国际通道中生产与流通的职能。</w:t>
      </w:r>
    </w:p>
    <w:p w14:paraId="50E07B89">
      <w:pPr>
        <w:ind w:firstLine="600"/>
        <w:jc w:val="left"/>
        <w:rPr>
          <w:rFonts w:eastAsia="方正仿宋_GBK"/>
          <w:color w:val="auto"/>
          <w:sz w:val="30"/>
          <w:szCs w:val="30"/>
          <w:highlight w:val="none"/>
        </w:rPr>
      </w:pPr>
      <w:r>
        <w:rPr>
          <w:rFonts w:hint="eastAsia" w:eastAsia="方正仿宋_GBK"/>
          <w:color w:val="auto"/>
          <w:sz w:val="30"/>
          <w:szCs w:val="30"/>
          <w:highlight w:val="none"/>
        </w:rPr>
        <w:t>完善多层次铁路交通和城际高速公路网络体系，积极融入滇中环线和放射交通结构，依托杭瑞、京昆、武易高速和昆楚高铁及周边路网，畅通南北干道，加密东西路网，重点推进昆明—楚雄主通道及楚雄—玉溪环向通道建设，逐步打通城际交通联系瓶颈。</w:t>
      </w:r>
    </w:p>
    <w:p w14:paraId="4EF01D0C">
      <w:pPr>
        <w:ind w:firstLine="600"/>
        <w:jc w:val="left"/>
        <w:rPr>
          <w:color w:val="auto"/>
          <w:sz w:val="30"/>
          <w:szCs w:val="30"/>
          <w:highlight w:val="none"/>
        </w:rPr>
      </w:pPr>
      <w:r>
        <w:rPr>
          <w:rFonts w:hint="eastAsia" w:eastAsia="方正仿宋_GBK"/>
          <w:color w:val="auto"/>
          <w:sz w:val="30"/>
          <w:szCs w:val="30"/>
          <w:highlight w:val="none"/>
        </w:rPr>
        <w:t>推进滇中引水工程干渠楚雄段廊道建设，共建滇中一体化水网。打造国家重要的跨区域能源互联互通枢纽，加强电网联络，协同长输油气管线保护防护，共建以昆明为中心、联通省外的放射状油气网络。协同共建区域高速共享互联网，共建智慧共享平台。加强消防救援联合调度，共建区域物资储备体系与一体化救援圈</w:t>
      </w:r>
      <w:r>
        <w:rPr>
          <w:rFonts w:eastAsia="方正仿宋_GBK"/>
          <w:color w:val="auto"/>
          <w:sz w:val="30"/>
          <w:szCs w:val="30"/>
          <w:highlight w:val="none"/>
        </w:rPr>
        <w:t>。</w:t>
      </w:r>
    </w:p>
    <w:p w14:paraId="6C972CE0">
      <w:pPr>
        <w:pStyle w:val="6"/>
        <w:rPr>
          <w:color w:val="auto"/>
          <w:highlight w:val="none"/>
        </w:rPr>
      </w:pPr>
      <w:r>
        <w:rPr>
          <w:color w:val="auto"/>
          <w:highlight w:val="none"/>
        </w:rPr>
        <w:t>三、</w:t>
      </w:r>
      <w:r>
        <w:rPr>
          <w:rFonts w:hint="eastAsia"/>
          <w:color w:val="auto"/>
          <w:highlight w:val="none"/>
        </w:rPr>
        <w:t>公共服务共建共享</w:t>
      </w:r>
    </w:p>
    <w:p w14:paraId="7EA16D34">
      <w:pPr>
        <w:ind w:firstLine="600"/>
        <w:jc w:val="left"/>
        <w:rPr>
          <w:rFonts w:eastAsia="方正仿宋_GBK"/>
          <w:color w:val="auto"/>
          <w:sz w:val="30"/>
          <w:szCs w:val="30"/>
          <w:highlight w:val="none"/>
        </w:rPr>
      </w:pPr>
      <w:r>
        <w:rPr>
          <w:rFonts w:hint="eastAsia" w:eastAsia="方正仿宋_GBK"/>
          <w:color w:val="auto"/>
          <w:sz w:val="30"/>
          <w:szCs w:val="30"/>
          <w:highlight w:val="none"/>
        </w:rPr>
        <w:t>推进滇中城市群公共服务跨界使用，加强在科研、文化论坛、职业教育等特殊领域的共享。加强昆楚在教育、医疗、文化、体育等优质公共服务资源的统筹布局，实现公共服务水平同城化。建立名校联盟，以共建合作办学等方式引入昆明优质教育资源，推动数字教育同城化发展。与昆明合作共建国家、省级医学中心和区域医疗中心，建立统一的“互联网+医疗健康”服务体系。推动昆楚图书馆、文化馆、博物馆、体育馆等公益性公共文化体育服务设施联动共享</w:t>
      </w:r>
      <w:r>
        <w:rPr>
          <w:rFonts w:eastAsia="方正仿宋_GBK"/>
          <w:color w:val="auto"/>
          <w:sz w:val="30"/>
          <w:szCs w:val="30"/>
          <w:highlight w:val="none"/>
        </w:rPr>
        <w:t>。</w:t>
      </w:r>
    </w:p>
    <w:p w14:paraId="11E77062">
      <w:pPr>
        <w:pStyle w:val="6"/>
        <w:rPr>
          <w:color w:val="auto"/>
          <w:highlight w:val="none"/>
        </w:rPr>
      </w:pPr>
      <w:r>
        <w:rPr>
          <w:rFonts w:hint="eastAsia"/>
          <w:color w:val="auto"/>
          <w:highlight w:val="none"/>
        </w:rPr>
        <w:t>四、生态环境联保共治</w:t>
      </w:r>
    </w:p>
    <w:p w14:paraId="76CF2941">
      <w:pPr>
        <w:ind w:firstLine="600"/>
        <w:jc w:val="left"/>
        <w:rPr>
          <w:rFonts w:eastAsia="方正仿宋_GBK"/>
          <w:color w:val="auto"/>
          <w:sz w:val="30"/>
          <w:szCs w:val="30"/>
          <w:highlight w:val="none"/>
        </w:rPr>
      </w:pPr>
      <w:r>
        <w:rPr>
          <w:rFonts w:hint="eastAsia" w:eastAsia="方正仿宋_GBK"/>
          <w:color w:val="auto"/>
          <w:sz w:val="30"/>
          <w:szCs w:val="30"/>
          <w:highlight w:val="none"/>
        </w:rPr>
        <w:t>加强与大理、丽江、昆明、玉溪、普洱和四川攀枝花市、凉山州等区域就北部金沙江、南部元江流域的跨区协作，共保哀牢山、金沙江、元江流域重要物种迁徙廊道。协同开展金沙江、元江流域上下游水土流失治理、水污染防治及水生态修复，保障河道生态基流，共建生态景观廊道。建立区域生态环境联防联控机制，完善区域防火预警监测和林业有害生物防控机制，探索实施流域横向生态补偿机制。深化环境污染治理合作。加强大气、水、土壤污染防治、固体废物环境管理、农村环境综合整治等合作，加强生态环保合作机制和平台建设，积极开展生态环保领域的科技合作与交流，推动环保技术研发、科技成果转移转化和推广应用。加大绿色示范项目的支持力度推动绿色发展，探索制定绿色发展战略与行动计划，引导优势环保产业集群式发展。</w:t>
      </w:r>
    </w:p>
    <w:p w14:paraId="20DF83E9">
      <w:pPr>
        <w:pStyle w:val="63"/>
        <w:rPr>
          <w:color w:val="auto"/>
          <w:highlight w:val="none"/>
        </w:rPr>
        <w:sectPr>
          <w:pgSz w:w="11906" w:h="16838"/>
          <w:pgMar w:top="2041" w:right="1644" w:bottom="1871" w:left="1644" w:header="851" w:footer="992" w:gutter="0"/>
          <w:cols w:space="425" w:num="1"/>
          <w:docGrid w:type="linesAndChars" w:linePitch="312" w:charSpace="0"/>
        </w:sectPr>
      </w:pPr>
    </w:p>
    <w:p w14:paraId="20D6BB5E">
      <w:pPr>
        <w:pStyle w:val="63"/>
        <w:rPr>
          <w:color w:val="auto"/>
          <w:highlight w:val="none"/>
        </w:rPr>
      </w:pPr>
      <w:bookmarkStart w:id="268" w:name="_Toc184639409"/>
      <w:r>
        <w:rPr>
          <w:color w:val="auto"/>
          <w:highlight w:val="none"/>
        </w:rPr>
        <w:t>第十章 创新机制保障规划实施</w:t>
      </w:r>
      <w:bookmarkEnd w:id="256"/>
      <w:bookmarkEnd w:id="257"/>
      <w:bookmarkEnd w:id="258"/>
      <w:bookmarkEnd w:id="268"/>
    </w:p>
    <w:p w14:paraId="68DEB6C0">
      <w:pPr>
        <w:pStyle w:val="5"/>
        <w:rPr>
          <w:rFonts w:eastAsia="方正黑体简体"/>
          <w:color w:val="auto"/>
          <w:highlight w:val="none"/>
        </w:rPr>
      </w:pPr>
      <w:bookmarkStart w:id="269" w:name="_Toc5539"/>
      <w:bookmarkStart w:id="270" w:name="_Toc184639410"/>
      <w:bookmarkStart w:id="271" w:name="_Toc131433358"/>
      <w:bookmarkStart w:id="272" w:name="_Toc131433192"/>
      <w:r>
        <w:rPr>
          <w:color w:val="auto"/>
          <w:highlight w:val="none"/>
        </w:rPr>
        <w:t>第一节</w:t>
      </w:r>
      <w:r>
        <w:rPr>
          <w:rFonts w:hint="eastAsia"/>
          <w:color w:val="auto"/>
          <w:highlight w:val="none"/>
        </w:rPr>
        <w:t xml:space="preserve"> </w:t>
      </w:r>
      <w:r>
        <w:rPr>
          <w:color w:val="auto"/>
          <w:highlight w:val="none"/>
        </w:rPr>
        <w:t>加强组织保障</w:t>
      </w:r>
      <w:bookmarkEnd w:id="269"/>
      <w:bookmarkEnd w:id="270"/>
      <w:bookmarkEnd w:id="271"/>
      <w:bookmarkEnd w:id="272"/>
    </w:p>
    <w:p w14:paraId="4315C708">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坚持党的统一领导。</w:t>
      </w:r>
      <w:r>
        <w:rPr>
          <w:rFonts w:eastAsia="方正仿宋_GBK"/>
          <w:color w:val="auto"/>
          <w:sz w:val="30"/>
          <w:szCs w:val="30"/>
          <w:highlight w:val="none"/>
        </w:rPr>
        <w:t>充分发挥党</w:t>
      </w:r>
      <w:r>
        <w:rPr>
          <w:rFonts w:hint="eastAsia" w:eastAsia="方正仿宋_GBK"/>
          <w:color w:val="auto"/>
          <w:sz w:val="30"/>
          <w:szCs w:val="30"/>
          <w:highlight w:val="none"/>
          <w:lang w:eastAsia="zh-CN"/>
        </w:rPr>
        <w:t>总揽全局、协调各方</w:t>
      </w:r>
      <w:r>
        <w:rPr>
          <w:rFonts w:eastAsia="方正仿宋_GBK"/>
          <w:color w:val="auto"/>
          <w:sz w:val="30"/>
          <w:szCs w:val="30"/>
          <w:highlight w:val="none"/>
        </w:rPr>
        <w:t>的领导核心作用，把党的领导贯彻到国土空间规划编制实施</w:t>
      </w:r>
      <w:r>
        <w:rPr>
          <w:rFonts w:hint="eastAsia" w:eastAsia="方正仿宋_GBK"/>
          <w:color w:val="auto"/>
          <w:sz w:val="30"/>
          <w:szCs w:val="30"/>
          <w:highlight w:val="none"/>
        </w:rPr>
        <w:t>的</w:t>
      </w:r>
      <w:r>
        <w:rPr>
          <w:rFonts w:eastAsia="方正仿宋_GBK"/>
          <w:color w:val="auto"/>
          <w:sz w:val="30"/>
          <w:szCs w:val="30"/>
          <w:highlight w:val="none"/>
        </w:rPr>
        <w:t>全过程</w:t>
      </w:r>
      <w:r>
        <w:rPr>
          <w:rFonts w:hint="eastAsia" w:eastAsia="方正仿宋_GBK"/>
          <w:color w:val="auto"/>
          <w:sz w:val="30"/>
          <w:szCs w:val="30"/>
          <w:highlight w:val="none"/>
        </w:rPr>
        <w:t>、</w:t>
      </w:r>
      <w:r>
        <w:rPr>
          <w:rFonts w:eastAsia="方正仿宋_GBK"/>
          <w:color w:val="auto"/>
          <w:sz w:val="30"/>
          <w:szCs w:val="30"/>
          <w:highlight w:val="none"/>
        </w:rPr>
        <w:t>全领域</w:t>
      </w:r>
      <w:r>
        <w:rPr>
          <w:rFonts w:hint="eastAsia" w:eastAsia="方正仿宋_GBK"/>
          <w:color w:val="auto"/>
          <w:sz w:val="30"/>
          <w:szCs w:val="30"/>
          <w:highlight w:val="none"/>
        </w:rPr>
        <w:t>、</w:t>
      </w:r>
      <w:r>
        <w:rPr>
          <w:rFonts w:eastAsia="方正仿宋_GBK"/>
          <w:color w:val="auto"/>
          <w:sz w:val="30"/>
          <w:szCs w:val="30"/>
          <w:highlight w:val="none"/>
        </w:rPr>
        <w:t>各环节。全州各级党委和政府要充分认识建立国土空间规划体系的重大意义，加强领导干部的国土空间规划管理培训，规划实施中的重大事项或重大调整，及时按程序向党委和政府汇报，确保国家、省、州重大决策部署落实到位</w:t>
      </w:r>
      <w:r>
        <w:rPr>
          <w:rFonts w:hint="eastAsia" w:eastAsia="方正仿宋_GBK"/>
          <w:color w:val="auto"/>
          <w:sz w:val="30"/>
          <w:szCs w:val="30"/>
          <w:highlight w:val="none"/>
        </w:rPr>
        <w:t>，实行耕地保护党政同责、终生追责</w:t>
      </w:r>
      <w:r>
        <w:rPr>
          <w:rFonts w:eastAsia="方正仿宋_GBK"/>
          <w:color w:val="auto"/>
          <w:sz w:val="30"/>
          <w:szCs w:val="30"/>
          <w:highlight w:val="none"/>
        </w:rPr>
        <w:t>。</w:t>
      </w:r>
    </w:p>
    <w:p w14:paraId="35814B3C">
      <w:pPr>
        <w:ind w:firstLine="600"/>
        <w:rPr>
          <w:rFonts w:eastAsia="方正仿宋_GBK"/>
          <w:color w:val="auto"/>
          <w:sz w:val="30"/>
          <w:szCs w:val="30"/>
          <w:highlight w:val="none"/>
        </w:rPr>
      </w:pPr>
      <w:r>
        <w:rPr>
          <w:rFonts w:ascii="方正楷体_GBK" w:eastAsia="方正楷体_GBK"/>
          <w:color w:val="auto"/>
          <w:sz w:val="30"/>
          <w:szCs w:val="30"/>
          <w:highlight w:val="none"/>
        </w:rPr>
        <w:t>明确责任分工。</w:t>
      </w:r>
      <w:r>
        <w:rPr>
          <w:rFonts w:eastAsia="方正仿宋_GBK"/>
          <w:color w:val="auto"/>
          <w:sz w:val="30"/>
          <w:szCs w:val="30"/>
          <w:highlight w:val="none"/>
        </w:rPr>
        <w:t>州域各级党委和人民政府要切实担当国土空间规划管理主体责任，坚持</w:t>
      </w:r>
      <w:r>
        <w:rPr>
          <w:rFonts w:hint="eastAsia" w:eastAsia="方正仿宋_GBK"/>
          <w:color w:val="auto"/>
          <w:sz w:val="30"/>
          <w:szCs w:val="30"/>
          <w:highlight w:val="none"/>
        </w:rPr>
        <w:t>“</w:t>
      </w:r>
      <w:r>
        <w:rPr>
          <w:rFonts w:eastAsia="方正仿宋_GBK"/>
          <w:color w:val="auto"/>
          <w:sz w:val="30"/>
          <w:szCs w:val="30"/>
          <w:highlight w:val="none"/>
        </w:rPr>
        <w:t>多规合一</w:t>
      </w:r>
      <w:r>
        <w:rPr>
          <w:rFonts w:hint="eastAsia" w:eastAsia="方正仿宋_GBK"/>
          <w:color w:val="auto"/>
          <w:sz w:val="30"/>
          <w:szCs w:val="30"/>
          <w:highlight w:val="none"/>
        </w:rPr>
        <w:t>”</w:t>
      </w:r>
      <w:r>
        <w:rPr>
          <w:rFonts w:eastAsia="方正仿宋_GBK"/>
          <w:color w:val="auto"/>
          <w:sz w:val="30"/>
          <w:szCs w:val="30"/>
          <w:highlight w:val="none"/>
        </w:rPr>
        <w:t>，强化规划严肃性、权威性，规划一经批准，任何部门和个人不得随意修改、违规变更，防止换一届领导改一次规划</w:t>
      </w:r>
      <w:r>
        <w:rPr>
          <w:rFonts w:hint="eastAsia" w:eastAsia="方正仿宋_GBK"/>
          <w:color w:val="auto"/>
          <w:sz w:val="30"/>
          <w:szCs w:val="30"/>
          <w:highlight w:val="none"/>
          <w:lang w:eastAsia="zh-CN"/>
        </w:rPr>
        <w:t>，把</w:t>
      </w:r>
      <w:r>
        <w:rPr>
          <w:rFonts w:eastAsia="方正仿宋_GBK"/>
          <w:color w:val="auto"/>
          <w:sz w:val="30"/>
          <w:szCs w:val="30"/>
          <w:highlight w:val="none"/>
        </w:rPr>
        <w:t>国土空间规划执行情况纳入领导干部自然资源资产离任审计。明确责任分工，落实工作经费，加强队伍建设，做好宣传教育，扩大公众参与。各有关职能部门应根据职责分工，</w:t>
      </w:r>
      <w:r>
        <w:rPr>
          <w:rFonts w:hint="eastAsia" w:eastAsia="方正仿宋_GBK"/>
          <w:color w:val="auto"/>
          <w:sz w:val="30"/>
          <w:szCs w:val="30"/>
          <w:highlight w:val="none"/>
        </w:rPr>
        <w:t>编制</w:t>
      </w:r>
      <w:r>
        <w:rPr>
          <w:rFonts w:eastAsia="方正仿宋_GBK"/>
          <w:color w:val="auto"/>
          <w:sz w:val="30"/>
          <w:szCs w:val="30"/>
          <w:highlight w:val="none"/>
        </w:rPr>
        <w:t>本部门的国土空间相关专项规划，规划实施过程中的重大事项或重大调整，及时按照程序向州委、州政府请示报告，</w:t>
      </w:r>
      <w:r>
        <w:rPr>
          <w:rFonts w:hint="eastAsia" w:eastAsia="方正仿宋_GBK"/>
          <w:color w:val="auto"/>
          <w:sz w:val="30"/>
          <w:szCs w:val="30"/>
          <w:highlight w:val="none"/>
        </w:rPr>
        <w:t>确保规划的有序推进</w:t>
      </w:r>
      <w:r>
        <w:rPr>
          <w:rFonts w:eastAsia="方正仿宋_GBK"/>
          <w:color w:val="auto"/>
          <w:sz w:val="30"/>
          <w:szCs w:val="30"/>
          <w:highlight w:val="none"/>
        </w:rPr>
        <w:t>。</w:t>
      </w:r>
    </w:p>
    <w:p w14:paraId="3C3001A8">
      <w:pPr>
        <w:pStyle w:val="5"/>
        <w:rPr>
          <w:rFonts w:eastAsia="方正黑体简体"/>
          <w:color w:val="auto"/>
          <w:highlight w:val="none"/>
        </w:rPr>
      </w:pPr>
      <w:bookmarkStart w:id="273" w:name="_Toc131433359"/>
      <w:bookmarkStart w:id="274" w:name="_Toc131433193"/>
      <w:bookmarkStart w:id="275" w:name="_Toc184639411"/>
      <w:bookmarkStart w:id="276" w:name="_Toc3497"/>
      <w:r>
        <w:rPr>
          <w:color w:val="auto"/>
          <w:highlight w:val="none"/>
        </w:rPr>
        <w:t>第二节</w:t>
      </w:r>
      <w:r>
        <w:rPr>
          <w:rFonts w:hint="eastAsia" w:eastAsia="方正黑体简体"/>
          <w:color w:val="auto"/>
          <w:highlight w:val="none"/>
        </w:rPr>
        <w:t xml:space="preserve"> </w:t>
      </w:r>
      <w:r>
        <w:rPr>
          <w:color w:val="auto"/>
          <w:highlight w:val="none"/>
        </w:rPr>
        <w:t>建立规划传导机制</w:t>
      </w:r>
      <w:bookmarkEnd w:id="273"/>
      <w:bookmarkEnd w:id="274"/>
      <w:bookmarkEnd w:id="275"/>
      <w:bookmarkEnd w:id="276"/>
    </w:p>
    <w:p w14:paraId="18BC611A">
      <w:pPr>
        <w:pStyle w:val="6"/>
        <w:rPr>
          <w:color w:val="auto"/>
          <w:highlight w:val="none"/>
        </w:rPr>
      </w:pPr>
      <w:r>
        <w:rPr>
          <w:color w:val="auto"/>
          <w:highlight w:val="none"/>
        </w:rPr>
        <w:t>一、强化县（市）规划纵向传导</w:t>
      </w:r>
    </w:p>
    <w:p w14:paraId="0DE5D879">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lang w:eastAsia="zh-CN"/>
        </w:rPr>
        <w:t>（</w:t>
      </w:r>
      <w:r>
        <w:rPr>
          <w:rFonts w:hint="eastAsia" w:ascii="方正仿宋_GBK" w:eastAsia="方正仿宋_GBK"/>
          <w:color w:val="auto"/>
          <w:sz w:val="30"/>
          <w:szCs w:val="30"/>
          <w:highlight w:val="none"/>
        </w:rPr>
        <w:t>一</w:t>
      </w:r>
      <w:r>
        <w:rPr>
          <w:rFonts w:hint="eastAsia" w:ascii="方正仿宋_GBK" w:eastAsia="方正仿宋_GBK"/>
          <w:color w:val="auto"/>
          <w:sz w:val="30"/>
          <w:szCs w:val="30"/>
          <w:highlight w:val="none"/>
          <w:lang w:eastAsia="zh-CN"/>
        </w:rPr>
        <w:t>）</w:t>
      </w:r>
      <w:r>
        <w:rPr>
          <w:rFonts w:hint="eastAsia" w:ascii="方正仿宋_GBK" w:eastAsia="方正仿宋_GBK"/>
          <w:color w:val="auto"/>
          <w:sz w:val="30"/>
          <w:szCs w:val="30"/>
          <w:highlight w:val="none"/>
        </w:rPr>
        <w:t xml:space="preserve"> 指标传导</w:t>
      </w:r>
    </w:p>
    <w:p w14:paraId="45AE4C02">
      <w:pPr>
        <w:ind w:firstLine="600"/>
        <w:jc w:val="left"/>
        <w:rPr>
          <w:rFonts w:eastAsia="方正仿宋_GBK"/>
          <w:color w:val="auto"/>
          <w:sz w:val="30"/>
          <w:szCs w:val="30"/>
          <w:highlight w:val="none"/>
        </w:rPr>
      </w:pPr>
      <w:r>
        <w:rPr>
          <w:rFonts w:hint="eastAsia" w:eastAsia="方正仿宋_GBK"/>
          <w:color w:val="auto"/>
          <w:sz w:val="30"/>
          <w:szCs w:val="30"/>
          <w:highlight w:val="none"/>
        </w:rPr>
        <w:t>县（市）级国土空间总体规划不得突破《规划》确定的约束性指标、三条控制线、空间管控要求等强制性内容，落实上位规划指标，牢牢把握耕地保护等关键问题，将耕地保有量、永久基本农田保护面积、坝区耕地划入永久基本农田划定比例、生态保护红线面积、城镇开发边界规模、城镇开发边界扩展倍数等相关指标传导至全州各县（市）。</w:t>
      </w:r>
    </w:p>
    <w:p w14:paraId="4AA6CF74">
      <w:pPr>
        <w:ind w:firstLine="600"/>
        <w:rPr>
          <w:rFonts w:eastAsia="方正仿宋_GBK"/>
          <w:color w:val="auto"/>
          <w:sz w:val="30"/>
          <w:szCs w:val="30"/>
          <w:highlight w:val="none"/>
        </w:rPr>
      </w:pPr>
      <w:r>
        <w:rPr>
          <w:rFonts w:hint="eastAsia" w:ascii="方正楷体_GBK" w:eastAsia="方正楷体_GBK"/>
          <w:color w:val="auto"/>
          <w:sz w:val="30"/>
          <w:szCs w:val="30"/>
          <w:highlight w:val="none"/>
        </w:rPr>
        <w:t>耕地保有量和永久基本农田保面积指标传导</w:t>
      </w:r>
      <w:r>
        <w:rPr>
          <w:rFonts w:hint="default" w:ascii="方正楷体_GBK" w:eastAsia="方正楷体_GBK"/>
          <w:color w:val="auto"/>
          <w:sz w:val="30"/>
          <w:szCs w:val="30"/>
          <w:highlight w:val="none"/>
        </w:rPr>
        <w:t>。</w:t>
      </w:r>
      <w:r>
        <w:rPr>
          <w:rFonts w:hint="default" w:eastAsia="方正仿宋_GBK"/>
          <w:color w:val="auto"/>
          <w:sz w:val="30"/>
          <w:szCs w:val="30"/>
          <w:highlight w:val="none"/>
          <w:u w:val="none"/>
        </w:rPr>
        <w:t>至2035年，全州耕地保有量不低于492.2700万亩，永久基本农田保护面积不低于365.0000万亩。其中楚雄州耕地</w:t>
      </w:r>
      <w:r>
        <w:rPr>
          <w:rFonts w:eastAsia="方正仿宋_GBK"/>
          <w:color w:val="auto"/>
          <w:sz w:val="30"/>
          <w:szCs w:val="30"/>
          <w:highlight w:val="none"/>
          <w:u w:val="none"/>
        </w:rPr>
        <w:t>保有量和永久基本农田保</w:t>
      </w:r>
      <w:r>
        <w:rPr>
          <w:rFonts w:hint="default" w:eastAsia="方正仿宋_GBK"/>
          <w:color w:val="auto"/>
          <w:sz w:val="30"/>
          <w:szCs w:val="30"/>
          <w:highlight w:val="none"/>
          <w:u w:val="none"/>
        </w:rPr>
        <w:t>护</w:t>
      </w:r>
      <w:r>
        <w:rPr>
          <w:rFonts w:eastAsia="方正仿宋_GBK"/>
          <w:color w:val="auto"/>
          <w:sz w:val="30"/>
          <w:szCs w:val="30"/>
          <w:highlight w:val="none"/>
          <w:u w:val="none"/>
        </w:rPr>
        <w:t>面积分解至楚雄市分别为72.1851万亩</w:t>
      </w:r>
      <w:r>
        <w:rPr>
          <w:rFonts w:hint="default" w:eastAsia="方正仿宋_GBK"/>
          <w:color w:val="auto"/>
          <w:sz w:val="30"/>
          <w:szCs w:val="30"/>
          <w:highlight w:val="none"/>
          <w:u w:val="none"/>
        </w:rPr>
        <w:t>、</w:t>
      </w:r>
      <w:r>
        <w:rPr>
          <w:rFonts w:eastAsia="方正仿宋_GBK"/>
          <w:color w:val="auto"/>
          <w:sz w:val="30"/>
          <w:szCs w:val="30"/>
          <w:highlight w:val="none"/>
          <w:u w:val="none"/>
        </w:rPr>
        <w:t>48.7990</w:t>
      </w:r>
      <w:r>
        <w:rPr>
          <w:rFonts w:hint="default" w:eastAsia="方正仿宋_GBK"/>
          <w:color w:val="auto"/>
          <w:sz w:val="30"/>
          <w:szCs w:val="30"/>
          <w:highlight w:val="none"/>
          <w:u w:val="none"/>
        </w:rPr>
        <w:t>万亩；双柏县45.2970万亩、33.4255万亩；牟定县</w:t>
      </w:r>
      <w:r>
        <w:rPr>
          <w:rFonts w:eastAsia="方正仿宋_GBK"/>
          <w:color w:val="auto"/>
          <w:sz w:val="30"/>
          <w:szCs w:val="30"/>
          <w:highlight w:val="none"/>
          <w:u w:val="none"/>
        </w:rPr>
        <w:t>31.9631</w:t>
      </w:r>
      <w:r>
        <w:rPr>
          <w:rFonts w:hint="default" w:eastAsia="方正仿宋_GBK"/>
          <w:color w:val="auto"/>
          <w:sz w:val="30"/>
          <w:szCs w:val="30"/>
          <w:highlight w:val="none"/>
          <w:u w:val="none"/>
        </w:rPr>
        <w:t>万亩、</w:t>
      </w:r>
      <w:r>
        <w:rPr>
          <w:rFonts w:eastAsia="方正仿宋_GBK"/>
          <w:color w:val="auto"/>
          <w:sz w:val="30"/>
          <w:szCs w:val="30"/>
          <w:highlight w:val="none"/>
          <w:u w:val="none"/>
        </w:rPr>
        <w:t>26.6313</w:t>
      </w:r>
      <w:r>
        <w:rPr>
          <w:rFonts w:hint="default" w:eastAsia="方正仿宋_GBK"/>
          <w:color w:val="auto"/>
          <w:sz w:val="30"/>
          <w:szCs w:val="30"/>
          <w:highlight w:val="none"/>
          <w:u w:val="none"/>
        </w:rPr>
        <w:t>万亩；</w:t>
      </w:r>
      <w:r>
        <w:rPr>
          <w:rFonts w:eastAsia="方正仿宋_GBK"/>
          <w:color w:val="auto"/>
          <w:sz w:val="30"/>
          <w:szCs w:val="30"/>
          <w:highlight w:val="none"/>
          <w:u w:val="none"/>
        </w:rPr>
        <w:t>南华县47.9273万亩</w:t>
      </w:r>
      <w:r>
        <w:rPr>
          <w:rFonts w:hint="default" w:eastAsia="方正仿宋_GBK"/>
          <w:color w:val="auto"/>
          <w:sz w:val="30"/>
          <w:szCs w:val="30"/>
          <w:highlight w:val="none"/>
          <w:u w:val="none"/>
        </w:rPr>
        <w:t>、</w:t>
      </w:r>
      <w:r>
        <w:rPr>
          <w:rFonts w:eastAsia="方正仿宋_GBK"/>
          <w:color w:val="auto"/>
          <w:sz w:val="30"/>
          <w:szCs w:val="30"/>
          <w:highlight w:val="none"/>
          <w:u w:val="none"/>
        </w:rPr>
        <w:t>30.7623万亩</w:t>
      </w:r>
      <w:r>
        <w:rPr>
          <w:rFonts w:hint="default" w:eastAsia="方正仿宋_GBK"/>
          <w:color w:val="auto"/>
          <w:sz w:val="30"/>
          <w:szCs w:val="30"/>
          <w:highlight w:val="none"/>
          <w:u w:val="none"/>
        </w:rPr>
        <w:t>；</w:t>
      </w:r>
      <w:r>
        <w:rPr>
          <w:rFonts w:eastAsia="方正仿宋_GBK"/>
          <w:color w:val="auto"/>
          <w:sz w:val="30"/>
          <w:szCs w:val="30"/>
          <w:highlight w:val="none"/>
          <w:u w:val="none"/>
        </w:rPr>
        <w:t>姚安县29.2764万亩</w:t>
      </w:r>
      <w:r>
        <w:rPr>
          <w:rFonts w:hint="default" w:eastAsia="方正仿宋_GBK"/>
          <w:color w:val="auto"/>
          <w:sz w:val="30"/>
          <w:szCs w:val="30"/>
          <w:highlight w:val="none"/>
          <w:u w:val="none"/>
        </w:rPr>
        <w:t>、</w:t>
      </w:r>
      <w:r>
        <w:rPr>
          <w:rFonts w:eastAsia="方正仿宋_GBK"/>
          <w:color w:val="auto"/>
          <w:sz w:val="30"/>
          <w:szCs w:val="30"/>
          <w:highlight w:val="none"/>
          <w:u w:val="none"/>
        </w:rPr>
        <w:t>21.7352万亩；大姚县53.4758万亩</w:t>
      </w:r>
      <w:r>
        <w:rPr>
          <w:rFonts w:hint="default" w:eastAsia="方正仿宋_GBK"/>
          <w:color w:val="auto"/>
          <w:sz w:val="30"/>
          <w:szCs w:val="30"/>
          <w:highlight w:val="none"/>
          <w:u w:val="none"/>
        </w:rPr>
        <w:t>、</w:t>
      </w:r>
      <w:r>
        <w:rPr>
          <w:rFonts w:eastAsia="方正仿宋_GBK"/>
          <w:color w:val="auto"/>
          <w:sz w:val="30"/>
          <w:szCs w:val="30"/>
          <w:highlight w:val="none"/>
          <w:u w:val="none"/>
        </w:rPr>
        <w:t>32.7244万亩；永仁县27.4376万亩</w:t>
      </w:r>
      <w:r>
        <w:rPr>
          <w:rFonts w:hint="default" w:eastAsia="方正仿宋_GBK"/>
          <w:color w:val="auto"/>
          <w:sz w:val="30"/>
          <w:szCs w:val="30"/>
          <w:highlight w:val="none"/>
          <w:u w:val="none"/>
        </w:rPr>
        <w:t>、</w:t>
      </w:r>
      <w:r>
        <w:rPr>
          <w:rFonts w:eastAsia="方正仿宋_GBK"/>
          <w:color w:val="auto"/>
          <w:sz w:val="30"/>
          <w:szCs w:val="30"/>
          <w:highlight w:val="none"/>
          <w:u w:val="none"/>
        </w:rPr>
        <w:t>22.4316万亩；元谋县47.0217万亩</w:t>
      </w:r>
      <w:r>
        <w:rPr>
          <w:rFonts w:hint="default" w:eastAsia="方正仿宋_GBK"/>
          <w:color w:val="auto"/>
          <w:sz w:val="30"/>
          <w:szCs w:val="30"/>
          <w:highlight w:val="none"/>
          <w:u w:val="none"/>
        </w:rPr>
        <w:t>、</w:t>
      </w:r>
      <w:r>
        <w:rPr>
          <w:rFonts w:eastAsia="方正仿宋_GBK"/>
          <w:color w:val="auto"/>
          <w:sz w:val="30"/>
          <w:szCs w:val="30"/>
          <w:highlight w:val="none"/>
          <w:u w:val="none"/>
        </w:rPr>
        <w:t>38.8804万亩；武定</w:t>
      </w:r>
      <w:r>
        <w:rPr>
          <w:rFonts w:hint="default" w:eastAsia="方正仿宋_GBK"/>
          <w:color w:val="auto"/>
          <w:sz w:val="30"/>
          <w:szCs w:val="30"/>
          <w:highlight w:val="none"/>
          <w:u w:val="none"/>
        </w:rPr>
        <w:t>县</w:t>
      </w:r>
      <w:r>
        <w:rPr>
          <w:rFonts w:eastAsia="方正仿宋_GBK"/>
          <w:color w:val="auto"/>
          <w:sz w:val="30"/>
          <w:szCs w:val="30"/>
          <w:highlight w:val="none"/>
          <w:u w:val="none"/>
        </w:rPr>
        <w:t>62.1356万亩</w:t>
      </w:r>
      <w:r>
        <w:rPr>
          <w:rFonts w:hint="default" w:eastAsia="方正仿宋_GBK"/>
          <w:color w:val="auto"/>
          <w:sz w:val="30"/>
          <w:szCs w:val="30"/>
          <w:highlight w:val="none"/>
          <w:u w:val="none"/>
        </w:rPr>
        <w:t>、</w:t>
      </w:r>
      <w:r>
        <w:rPr>
          <w:rFonts w:eastAsia="方正仿宋_GBK"/>
          <w:color w:val="auto"/>
          <w:sz w:val="30"/>
          <w:szCs w:val="30"/>
          <w:highlight w:val="none"/>
          <w:u w:val="none"/>
        </w:rPr>
        <w:t>48.0702万亩；禄丰市75.5504万亩</w:t>
      </w:r>
      <w:r>
        <w:rPr>
          <w:rFonts w:hint="default" w:eastAsia="方正仿宋_GBK"/>
          <w:color w:val="auto"/>
          <w:sz w:val="30"/>
          <w:szCs w:val="30"/>
          <w:highlight w:val="none"/>
          <w:u w:val="none"/>
        </w:rPr>
        <w:t>、</w:t>
      </w:r>
      <w:r>
        <w:rPr>
          <w:rFonts w:eastAsia="方正仿宋_GBK"/>
          <w:color w:val="auto"/>
          <w:sz w:val="30"/>
          <w:szCs w:val="30"/>
          <w:highlight w:val="none"/>
          <w:u w:val="none"/>
        </w:rPr>
        <w:t>61.5401万亩。</w:t>
      </w:r>
    </w:p>
    <w:p w14:paraId="7C71701A">
      <w:pPr>
        <w:ind w:firstLine="600"/>
        <w:rPr>
          <w:rFonts w:eastAsia="方正仿宋_GBK"/>
          <w:color w:val="auto"/>
          <w:sz w:val="30"/>
          <w:szCs w:val="30"/>
          <w:highlight w:val="none"/>
          <w:u w:val="none"/>
        </w:rPr>
      </w:pPr>
      <w:r>
        <w:rPr>
          <w:rFonts w:hint="eastAsia" w:ascii="方正楷体_GBK" w:eastAsia="方正楷体_GBK"/>
          <w:color w:val="auto"/>
          <w:sz w:val="30"/>
          <w:szCs w:val="30"/>
          <w:highlight w:val="none"/>
        </w:rPr>
        <w:t>生态保护红线指标传导。</w:t>
      </w:r>
      <w:r>
        <w:rPr>
          <w:rFonts w:hint="default" w:eastAsia="方正仿宋_GBK"/>
          <w:color w:val="auto"/>
          <w:sz w:val="30"/>
          <w:szCs w:val="30"/>
          <w:highlight w:val="none"/>
          <w:u w:val="none"/>
        </w:rPr>
        <w:t>至2035年，全州生态保护红线面积不低于7199.33平方千米。其中</w:t>
      </w:r>
      <w:r>
        <w:rPr>
          <w:rFonts w:eastAsia="方正仿宋_GBK"/>
          <w:color w:val="auto"/>
          <w:sz w:val="30"/>
          <w:szCs w:val="30"/>
          <w:highlight w:val="none"/>
          <w:u w:val="none"/>
        </w:rPr>
        <w:t>楚雄市</w:t>
      </w:r>
      <w:r>
        <w:rPr>
          <w:rFonts w:hint="default" w:eastAsia="方正仿宋_GBK"/>
          <w:color w:val="auto"/>
          <w:sz w:val="30"/>
          <w:szCs w:val="30"/>
          <w:highlight w:val="none"/>
          <w:u w:val="none"/>
        </w:rPr>
        <w:t>不</w:t>
      </w:r>
      <w:r>
        <w:rPr>
          <w:rFonts w:eastAsia="方正仿宋_GBK"/>
          <w:color w:val="auto"/>
          <w:sz w:val="30"/>
          <w:szCs w:val="30"/>
          <w:highlight w:val="none"/>
          <w:u w:val="none"/>
        </w:rPr>
        <w:t>低于</w:t>
      </w:r>
      <w:r>
        <w:rPr>
          <w:rFonts w:hint="default" w:eastAsia="方正仿宋_GBK"/>
          <w:color w:val="auto"/>
          <w:sz w:val="30"/>
          <w:szCs w:val="30"/>
          <w:highlight w:val="none"/>
          <w:u w:val="none"/>
        </w:rPr>
        <w:t>951.50平方千米；双柏县不低于1411.13平方千米；牟定县不低于311.50平方千米；</w:t>
      </w:r>
      <w:r>
        <w:rPr>
          <w:rFonts w:eastAsia="方正仿宋_GBK"/>
          <w:color w:val="auto"/>
          <w:sz w:val="30"/>
          <w:szCs w:val="30"/>
          <w:highlight w:val="none"/>
          <w:u w:val="none"/>
        </w:rPr>
        <w:t>南华县</w:t>
      </w:r>
      <w:r>
        <w:rPr>
          <w:rFonts w:hint="default" w:eastAsia="方正仿宋_GBK"/>
          <w:color w:val="auto"/>
          <w:sz w:val="30"/>
          <w:szCs w:val="30"/>
          <w:highlight w:val="none"/>
          <w:u w:val="none"/>
        </w:rPr>
        <w:t>不低于557.60平方千米；</w:t>
      </w:r>
      <w:r>
        <w:rPr>
          <w:rFonts w:eastAsia="方正仿宋_GBK"/>
          <w:color w:val="auto"/>
          <w:sz w:val="30"/>
          <w:szCs w:val="30"/>
          <w:highlight w:val="none"/>
          <w:u w:val="none"/>
        </w:rPr>
        <w:t>姚安县</w:t>
      </w:r>
      <w:r>
        <w:rPr>
          <w:rFonts w:hint="default" w:eastAsia="方正仿宋_GBK"/>
          <w:color w:val="auto"/>
          <w:sz w:val="30"/>
          <w:szCs w:val="30"/>
          <w:highlight w:val="none"/>
          <w:u w:val="none"/>
        </w:rPr>
        <w:t>不低于638.50平方千米</w:t>
      </w:r>
      <w:r>
        <w:rPr>
          <w:rFonts w:eastAsia="方正仿宋_GBK"/>
          <w:color w:val="auto"/>
          <w:sz w:val="30"/>
          <w:szCs w:val="30"/>
          <w:highlight w:val="none"/>
          <w:u w:val="none"/>
        </w:rPr>
        <w:t>；大姚县</w:t>
      </w:r>
      <w:r>
        <w:rPr>
          <w:rFonts w:hint="default" w:eastAsia="方正仿宋_GBK"/>
          <w:color w:val="auto"/>
          <w:sz w:val="30"/>
          <w:szCs w:val="30"/>
          <w:highlight w:val="none"/>
          <w:u w:val="none"/>
        </w:rPr>
        <w:t>不低于1240.50平方千米</w:t>
      </w:r>
      <w:r>
        <w:rPr>
          <w:rFonts w:eastAsia="方正仿宋_GBK"/>
          <w:color w:val="auto"/>
          <w:sz w:val="30"/>
          <w:szCs w:val="30"/>
          <w:highlight w:val="none"/>
          <w:u w:val="none"/>
        </w:rPr>
        <w:t>；永仁县</w:t>
      </w:r>
      <w:r>
        <w:rPr>
          <w:rFonts w:hint="default" w:eastAsia="方正仿宋_GBK"/>
          <w:color w:val="auto"/>
          <w:sz w:val="30"/>
          <w:szCs w:val="30"/>
          <w:highlight w:val="none"/>
          <w:u w:val="none"/>
        </w:rPr>
        <w:t>不低于562.80平方千米</w:t>
      </w:r>
      <w:r>
        <w:rPr>
          <w:rFonts w:eastAsia="方正仿宋_GBK"/>
          <w:color w:val="auto"/>
          <w:sz w:val="30"/>
          <w:szCs w:val="30"/>
          <w:highlight w:val="none"/>
          <w:u w:val="none"/>
        </w:rPr>
        <w:t>；元谋县</w:t>
      </w:r>
      <w:r>
        <w:rPr>
          <w:rFonts w:hint="default" w:eastAsia="方正仿宋_GBK"/>
          <w:color w:val="auto"/>
          <w:sz w:val="30"/>
          <w:szCs w:val="30"/>
          <w:highlight w:val="none"/>
          <w:u w:val="none"/>
        </w:rPr>
        <w:t>不低于425.70平方千米</w:t>
      </w:r>
      <w:r>
        <w:rPr>
          <w:rFonts w:eastAsia="方正仿宋_GBK"/>
          <w:color w:val="auto"/>
          <w:sz w:val="30"/>
          <w:szCs w:val="30"/>
          <w:highlight w:val="none"/>
          <w:u w:val="none"/>
        </w:rPr>
        <w:t>；武定</w:t>
      </w:r>
      <w:r>
        <w:rPr>
          <w:rFonts w:hint="default" w:eastAsia="方正仿宋_GBK"/>
          <w:color w:val="auto"/>
          <w:sz w:val="30"/>
          <w:szCs w:val="30"/>
          <w:highlight w:val="none"/>
          <w:u w:val="none"/>
        </w:rPr>
        <w:t>县不低于583.80平方千米</w:t>
      </w:r>
      <w:r>
        <w:rPr>
          <w:rFonts w:eastAsia="方正仿宋_GBK"/>
          <w:color w:val="auto"/>
          <w:sz w:val="30"/>
          <w:szCs w:val="30"/>
          <w:highlight w:val="none"/>
          <w:u w:val="none"/>
        </w:rPr>
        <w:t>；禄丰市</w:t>
      </w:r>
      <w:r>
        <w:rPr>
          <w:rFonts w:hint="default" w:eastAsia="方正仿宋_GBK"/>
          <w:color w:val="auto"/>
          <w:sz w:val="30"/>
          <w:szCs w:val="30"/>
          <w:highlight w:val="none"/>
          <w:u w:val="none"/>
        </w:rPr>
        <w:t>不低于516.30平方千米</w:t>
      </w:r>
      <w:r>
        <w:rPr>
          <w:rFonts w:eastAsia="方正仿宋_GBK"/>
          <w:color w:val="auto"/>
          <w:sz w:val="30"/>
          <w:szCs w:val="30"/>
          <w:highlight w:val="none"/>
          <w:u w:val="none"/>
        </w:rPr>
        <w:t>。</w:t>
      </w:r>
    </w:p>
    <w:p w14:paraId="26E682EB">
      <w:pPr>
        <w:ind w:firstLine="600"/>
        <w:jc w:val="left"/>
        <w:rPr>
          <w:rFonts w:eastAsia="方正仿宋_GBK"/>
          <w:color w:val="auto"/>
          <w:sz w:val="30"/>
          <w:szCs w:val="30"/>
          <w:highlight w:val="none"/>
          <w:u w:val="none"/>
        </w:rPr>
      </w:pPr>
      <w:r>
        <w:rPr>
          <w:rFonts w:hint="eastAsia" w:ascii="方正楷体_GBK" w:eastAsia="方正楷体_GBK"/>
          <w:color w:val="auto"/>
          <w:sz w:val="30"/>
          <w:szCs w:val="30"/>
          <w:highlight w:val="none"/>
        </w:rPr>
        <w:t>城镇开发边界拓展倍数传导。</w:t>
      </w:r>
      <w:r>
        <w:rPr>
          <w:rFonts w:hint="default" w:eastAsia="方正仿宋_GBK"/>
          <w:color w:val="auto"/>
          <w:sz w:val="30"/>
          <w:szCs w:val="30"/>
          <w:highlight w:val="none"/>
          <w:u w:val="none"/>
        </w:rPr>
        <w:t>至</w:t>
      </w:r>
      <w:r>
        <w:rPr>
          <w:rFonts w:eastAsia="方正仿宋_GBK"/>
          <w:color w:val="auto"/>
          <w:sz w:val="30"/>
          <w:szCs w:val="30"/>
          <w:highlight w:val="none"/>
          <w:u w:val="none"/>
        </w:rPr>
        <w:t>2035</w:t>
      </w:r>
      <w:r>
        <w:rPr>
          <w:rFonts w:hint="default" w:eastAsia="方正仿宋_GBK"/>
          <w:color w:val="auto"/>
          <w:sz w:val="30"/>
          <w:szCs w:val="30"/>
          <w:highlight w:val="none"/>
          <w:u w:val="none"/>
        </w:rPr>
        <w:t>年，全州城镇开发边界扩展倍数控制在1.293倍以内。其中楚雄市控制在1.324倍以内；双柏县控制在1.240倍以内；牟定县控制在1.325倍以内；南华县控制在1.156倍以内；姚安县控制在1.185倍以内；大姚县控制在1.176倍以内；永仁县控制在1.291倍以内；元谋县控制在1.184倍以内；武定县控制在1.146倍以内；禄丰市控制在1.465倍以内。</w:t>
      </w:r>
    </w:p>
    <w:p w14:paraId="74393361">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（二）</w:t>
      </w:r>
      <w:r>
        <w:rPr>
          <w:rFonts w:ascii="方正仿宋_GBK" w:eastAsia="方正仿宋_GBK"/>
          <w:color w:val="auto"/>
          <w:sz w:val="30"/>
          <w:szCs w:val="30"/>
          <w:highlight w:val="none"/>
        </w:rPr>
        <w:t>空间传导</w:t>
      </w:r>
    </w:p>
    <w:p w14:paraId="5175116A">
      <w:pPr>
        <w:ind w:firstLine="600"/>
        <w:jc w:val="left"/>
        <w:rPr>
          <w:rFonts w:eastAsia="方正仿宋_GBK"/>
          <w:color w:val="auto"/>
          <w:sz w:val="30"/>
          <w:szCs w:val="30"/>
          <w:highlight w:val="none"/>
        </w:rPr>
      </w:pPr>
      <w:r>
        <w:rPr>
          <w:rFonts w:eastAsia="方正仿宋_GBK"/>
          <w:color w:val="auto"/>
          <w:sz w:val="30"/>
          <w:szCs w:val="30"/>
          <w:highlight w:val="none"/>
        </w:rPr>
        <w:t>下级规划应服从上级规划，上级规划要给下级规划预留合理空间，县（市）级国土空间总体规划依据《规划》编制，不得突破《规划》确定的主体功能分区，细化落实《规划》确定的目标战略、总体格局、三类空间布局、区域协调、资源要素、耕地和林地后备资源、生态修复、重大工程等内容。合理配置国土空间要素，优化城乡布局，统筹安排基础设施和公共服务设施，加强防灾减灾体系建设，提升城乡综合承载力和公共服务能力。突出地方特色，强化城乡空间形态控制，做好绿地、水体、历史文化遗存等重要空间的保护控制，提升城乡空间品质。</w:t>
      </w:r>
    </w:p>
    <w:p w14:paraId="1329EF0B">
      <w:pPr>
        <w:ind w:firstLine="0" w:firstLineChars="0"/>
        <w:rPr>
          <w:rFonts w:ascii="方正仿宋_GBK" w:eastAsia="方正仿宋_GBK"/>
          <w:color w:val="auto"/>
          <w:sz w:val="30"/>
          <w:szCs w:val="30"/>
          <w:highlight w:val="none"/>
        </w:rPr>
      </w:pPr>
      <w:r>
        <w:rPr>
          <w:rFonts w:hint="eastAsia" w:ascii="方正仿宋_GBK" w:eastAsia="方正仿宋_GBK"/>
          <w:color w:val="auto"/>
          <w:sz w:val="30"/>
          <w:szCs w:val="30"/>
          <w:highlight w:val="none"/>
        </w:rPr>
        <w:t>（三）中心城区划定传导</w:t>
      </w:r>
    </w:p>
    <w:p w14:paraId="4AC4432D">
      <w:pPr>
        <w:ind w:firstLine="600"/>
        <w:rPr>
          <w:color w:val="auto"/>
          <w:sz w:val="30"/>
          <w:szCs w:val="30"/>
          <w:highlight w:val="none"/>
        </w:rPr>
      </w:pPr>
      <w:r>
        <w:rPr>
          <w:rFonts w:hint="eastAsia" w:eastAsia="方正仿宋_GBK"/>
          <w:color w:val="auto"/>
          <w:sz w:val="30"/>
          <w:szCs w:val="30"/>
          <w:highlight w:val="none"/>
        </w:rPr>
        <w:t>各县（市）需结合实际，研究确定其中心城区规划范围，原则上中心城区范围内城镇开发边界规模应大于50%；并在县级规划中对中心城区国土空间结构和布局、综合交通体系、公共空间和公共服务功能、历史文化保护利用和城市风貌、城市安全韧性、城市更新等进行深化细化，为城镇开发边界内详细规划编制提出实施性布局要求。</w:t>
      </w:r>
    </w:p>
    <w:p w14:paraId="6651E871">
      <w:pPr>
        <w:pStyle w:val="6"/>
        <w:rPr>
          <w:color w:val="auto"/>
          <w:highlight w:val="none"/>
        </w:rPr>
      </w:pPr>
      <w:r>
        <w:rPr>
          <w:color w:val="auto"/>
          <w:highlight w:val="none"/>
        </w:rPr>
        <w:t>二、统筹专项规划横向传导</w:t>
      </w:r>
    </w:p>
    <w:p w14:paraId="6F4F21BF">
      <w:pPr>
        <w:ind w:firstLine="600"/>
        <w:jc w:val="left"/>
        <w:rPr>
          <w:rFonts w:eastAsia="方正仿宋_GBK"/>
          <w:color w:val="auto"/>
          <w:sz w:val="30"/>
          <w:szCs w:val="30"/>
          <w:highlight w:val="none"/>
        </w:rPr>
      </w:pPr>
      <w:r>
        <w:rPr>
          <w:rFonts w:eastAsia="方正仿宋_GBK"/>
          <w:color w:val="auto"/>
          <w:sz w:val="30"/>
          <w:szCs w:val="30"/>
          <w:highlight w:val="none"/>
        </w:rPr>
        <w:t>立足全州资源环境禀赋、经济社会发展的重大领域和关键问题等，从资源保护利用、要素空间配置、国土安全保护、城乡统筹发展等方面制定专项规划编制的清单，编制清单可动态调整</w:t>
      </w:r>
      <w:r>
        <w:rPr>
          <w:rFonts w:hint="eastAsia" w:eastAsia="方正仿宋_GBK"/>
          <w:color w:val="auto"/>
          <w:sz w:val="30"/>
          <w:szCs w:val="30"/>
          <w:highlight w:val="none"/>
        </w:rPr>
        <w:t>，</w:t>
      </w:r>
      <w:r>
        <w:rPr>
          <w:rFonts w:eastAsia="方正仿宋_GBK"/>
          <w:color w:val="auto"/>
          <w:sz w:val="30"/>
          <w:szCs w:val="30"/>
          <w:highlight w:val="none"/>
        </w:rPr>
        <w:t>以清单的形式强化总体规划对专项规划的横向传导与管控，发挥对各专项规划的指导作用。专项规划确定的发展方向、目标、总体布局、重大项目、重大政策等应当符合总体规划，总体规划明确的相关约束性指标及项目予以落实。专项规划在编制和审查过程中应加强与国土空间规划的衔接，统一专项规划编制基础，专项规划编制应使用国土空间基础信息平台提供的底图和空间关联现状数据信息；专项规划编制过程中，要细化落实总体规划确定的目标、任务和重大工程；审批前要将规划成果送同级自然资源部门进行国土空间规划</w:t>
      </w:r>
      <w:r>
        <w:rPr>
          <w:rFonts w:hint="eastAsia" w:eastAsia="方正仿宋_GBK"/>
          <w:color w:val="auto"/>
          <w:sz w:val="30"/>
          <w:szCs w:val="30"/>
          <w:highlight w:val="none"/>
        </w:rPr>
        <w:t>“</w:t>
      </w:r>
      <w:r>
        <w:rPr>
          <w:rFonts w:eastAsia="方正仿宋_GBK"/>
          <w:color w:val="auto"/>
          <w:sz w:val="30"/>
          <w:szCs w:val="30"/>
          <w:highlight w:val="none"/>
        </w:rPr>
        <w:t>一张图</w:t>
      </w:r>
      <w:r>
        <w:rPr>
          <w:rFonts w:hint="eastAsia" w:eastAsia="方正仿宋_GBK"/>
          <w:color w:val="auto"/>
          <w:sz w:val="30"/>
          <w:szCs w:val="30"/>
          <w:highlight w:val="none"/>
        </w:rPr>
        <w:t>”</w:t>
      </w:r>
      <w:r>
        <w:rPr>
          <w:rFonts w:eastAsia="方正仿宋_GBK"/>
          <w:color w:val="auto"/>
          <w:sz w:val="30"/>
          <w:szCs w:val="30"/>
          <w:highlight w:val="none"/>
        </w:rPr>
        <w:t>核对，确保衔接协调；批复后纳入国土空间基础信息平台，</w:t>
      </w:r>
      <w:r>
        <w:rPr>
          <w:rFonts w:hint="eastAsia" w:eastAsia="方正仿宋_GBK"/>
          <w:color w:val="auto"/>
          <w:sz w:val="30"/>
          <w:szCs w:val="30"/>
          <w:highlight w:val="none"/>
        </w:rPr>
        <w:t>实施“一张图”管理。规划期内，专项规划编制清单动态调整</w:t>
      </w:r>
      <w:r>
        <w:rPr>
          <w:rFonts w:eastAsia="方正仿宋_GBK"/>
          <w:color w:val="auto"/>
          <w:sz w:val="30"/>
          <w:szCs w:val="30"/>
          <w:highlight w:val="none"/>
        </w:rPr>
        <w:t>。</w:t>
      </w:r>
    </w:p>
    <w:p w14:paraId="49CE8F67">
      <w:pPr>
        <w:pStyle w:val="11"/>
        <w:rPr>
          <w:color w:val="auto"/>
          <w:highlight w:val="none"/>
        </w:rPr>
      </w:pPr>
      <w:r>
        <w:rPr>
          <w:color w:val="auto"/>
          <w:highlight w:val="none"/>
        </w:rPr>
        <w:t>专栏</w:t>
      </w:r>
      <w:r>
        <w:rPr>
          <w:rFonts w:hint="eastAsia"/>
          <w:color w:val="auto"/>
          <w:highlight w:val="none"/>
          <w:lang w:val="en-US" w:eastAsia="zh-CN"/>
        </w:rPr>
        <w:t>17</w:t>
      </w:r>
      <w:r>
        <w:rPr>
          <w:color w:val="auto"/>
          <w:highlight w:val="none"/>
        </w:rPr>
        <w:t xml:space="preserve">  楚雄州国土空间规划专项清单</w:t>
      </w:r>
    </w:p>
    <w:tbl>
      <w:tblPr>
        <w:tblStyle w:val="32"/>
        <w:tblW w:w="5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366"/>
        <w:gridCol w:w="3147"/>
      </w:tblGrid>
      <w:tr w14:paraId="7E1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4" w:type="pct"/>
            <w:shd w:val="clear" w:color="auto" w:fill="auto"/>
            <w:vAlign w:val="center"/>
          </w:tcPr>
          <w:p w14:paraId="1460355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类型</w:t>
            </w:r>
          </w:p>
        </w:tc>
        <w:tc>
          <w:tcPr>
            <w:tcW w:w="2415" w:type="pct"/>
            <w:shd w:val="clear" w:color="auto" w:fill="auto"/>
            <w:vAlign w:val="center"/>
          </w:tcPr>
          <w:p w14:paraId="49EC0D8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名称</w:t>
            </w:r>
          </w:p>
        </w:tc>
        <w:tc>
          <w:tcPr>
            <w:tcW w:w="1741" w:type="pct"/>
            <w:shd w:val="clear" w:color="auto" w:fill="auto"/>
            <w:vAlign w:val="center"/>
          </w:tcPr>
          <w:p w14:paraId="7FD088C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牵头部门</w:t>
            </w:r>
          </w:p>
        </w:tc>
      </w:tr>
      <w:tr w14:paraId="6014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restart"/>
            <w:shd w:val="clear" w:color="auto" w:fill="auto"/>
            <w:vAlign w:val="center"/>
          </w:tcPr>
          <w:p w14:paraId="7296A8A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资源保护利用类</w:t>
            </w:r>
          </w:p>
        </w:tc>
        <w:tc>
          <w:tcPr>
            <w:tcW w:w="2415" w:type="pct"/>
            <w:shd w:val="clear" w:color="auto" w:fill="auto"/>
            <w:vAlign w:val="center"/>
          </w:tcPr>
          <w:p w14:paraId="18D02ACB">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楚雄州矿产资源专项规划</w:t>
            </w:r>
          </w:p>
        </w:tc>
        <w:tc>
          <w:tcPr>
            <w:tcW w:w="1741" w:type="pct"/>
            <w:shd w:val="clear" w:color="auto" w:fill="auto"/>
            <w:vAlign w:val="center"/>
          </w:tcPr>
          <w:p w14:paraId="05065C6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州自然资源规划局</w:t>
            </w:r>
          </w:p>
        </w:tc>
      </w:tr>
      <w:tr w14:paraId="27D7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128A7EA1">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66289CB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楚雄州林地保护利用专项规划</w:t>
            </w:r>
          </w:p>
        </w:tc>
        <w:tc>
          <w:tcPr>
            <w:tcW w:w="1741" w:type="pct"/>
            <w:shd w:val="clear" w:color="auto" w:fill="auto"/>
            <w:vAlign w:val="center"/>
          </w:tcPr>
          <w:p w14:paraId="3F11C59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州林草局</w:t>
            </w:r>
          </w:p>
        </w:tc>
      </w:tr>
      <w:tr w14:paraId="3E35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01DDCCEE">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350B830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楚雄州水资源保护与利用专项规划</w:t>
            </w:r>
          </w:p>
        </w:tc>
        <w:tc>
          <w:tcPr>
            <w:tcW w:w="1741" w:type="pct"/>
            <w:shd w:val="clear" w:color="auto" w:fill="auto"/>
            <w:vAlign w:val="center"/>
          </w:tcPr>
          <w:p w14:paraId="15AD8E3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州水务局</w:t>
            </w:r>
          </w:p>
        </w:tc>
      </w:tr>
      <w:tr w14:paraId="6666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29FE7E1F">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233933B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楚雄州生态环境保护专项规划</w:t>
            </w:r>
          </w:p>
        </w:tc>
        <w:tc>
          <w:tcPr>
            <w:tcW w:w="1741" w:type="pct"/>
            <w:shd w:val="clear" w:color="auto" w:fill="auto"/>
            <w:vAlign w:val="center"/>
          </w:tcPr>
          <w:p w14:paraId="6481E61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州生态环境局</w:t>
            </w:r>
          </w:p>
        </w:tc>
      </w:tr>
      <w:tr w14:paraId="3846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738D3610">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0B60015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楚雄州历史文化名城名镇名村及传统村落保护专项规划</w:t>
            </w:r>
          </w:p>
        </w:tc>
        <w:tc>
          <w:tcPr>
            <w:tcW w:w="1741" w:type="pct"/>
            <w:shd w:val="clear" w:color="auto" w:fill="auto"/>
            <w:vAlign w:val="center"/>
          </w:tcPr>
          <w:p w14:paraId="7D1F63D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州住建局</w:t>
            </w:r>
          </w:p>
        </w:tc>
      </w:tr>
      <w:tr w14:paraId="119E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0907926C">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0288F8A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楚雄州文物保护与利用专项规划</w:t>
            </w:r>
          </w:p>
        </w:tc>
        <w:tc>
          <w:tcPr>
            <w:tcW w:w="1741" w:type="pct"/>
            <w:shd w:val="clear" w:color="auto" w:fill="auto"/>
            <w:vAlign w:val="center"/>
          </w:tcPr>
          <w:p w14:paraId="5BB6DF3A">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州文旅局</w:t>
            </w:r>
          </w:p>
        </w:tc>
      </w:tr>
      <w:tr w14:paraId="147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0A2FF267">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6C73054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楚雄州河湖岸线保护与利用专项规划</w:t>
            </w:r>
          </w:p>
        </w:tc>
        <w:tc>
          <w:tcPr>
            <w:tcW w:w="1741" w:type="pct"/>
            <w:shd w:val="clear" w:color="auto" w:fill="auto"/>
            <w:vAlign w:val="center"/>
          </w:tcPr>
          <w:p w14:paraId="139D4C0F">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州水务局</w:t>
            </w:r>
          </w:p>
        </w:tc>
      </w:tr>
      <w:tr w14:paraId="623D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restart"/>
            <w:shd w:val="clear" w:color="auto" w:fill="auto"/>
            <w:vAlign w:val="center"/>
          </w:tcPr>
          <w:p w14:paraId="62D66F6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基础设施类</w:t>
            </w:r>
          </w:p>
        </w:tc>
        <w:tc>
          <w:tcPr>
            <w:tcW w:w="2415" w:type="pct"/>
            <w:shd w:val="clear" w:color="auto" w:fill="auto"/>
            <w:vAlign w:val="center"/>
          </w:tcPr>
          <w:p w14:paraId="577C290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楚雄州综合交通体系专项规划</w:t>
            </w:r>
          </w:p>
        </w:tc>
        <w:tc>
          <w:tcPr>
            <w:tcW w:w="1741" w:type="pct"/>
            <w:shd w:val="clear" w:color="auto" w:fill="auto"/>
            <w:vAlign w:val="center"/>
          </w:tcPr>
          <w:p w14:paraId="513E688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州交通局</w:t>
            </w:r>
          </w:p>
        </w:tc>
      </w:tr>
      <w:tr w14:paraId="499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779C0108">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36E08911">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楚雄州环卫设施专项规划</w:t>
            </w:r>
          </w:p>
        </w:tc>
        <w:tc>
          <w:tcPr>
            <w:tcW w:w="1741" w:type="pct"/>
            <w:shd w:val="clear" w:color="auto" w:fill="auto"/>
            <w:vAlign w:val="center"/>
          </w:tcPr>
          <w:p w14:paraId="5EF7201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州住建局</w:t>
            </w:r>
          </w:p>
        </w:tc>
      </w:tr>
      <w:tr w14:paraId="422B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287AE2FB">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0D62751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楚雄州水利基础设施布局专项规划</w:t>
            </w:r>
          </w:p>
        </w:tc>
        <w:tc>
          <w:tcPr>
            <w:tcW w:w="1741" w:type="pct"/>
            <w:shd w:val="clear" w:color="auto" w:fill="auto"/>
            <w:vAlign w:val="center"/>
          </w:tcPr>
          <w:p w14:paraId="1532351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州水务局</w:t>
            </w:r>
          </w:p>
        </w:tc>
      </w:tr>
      <w:tr w14:paraId="5B2A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1C27E517">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418C51F6">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楚雄州通信专项规划</w:t>
            </w:r>
          </w:p>
        </w:tc>
        <w:tc>
          <w:tcPr>
            <w:tcW w:w="1741" w:type="pct"/>
            <w:shd w:val="clear" w:color="auto" w:fill="auto"/>
            <w:vAlign w:val="center"/>
          </w:tcPr>
          <w:p w14:paraId="3F312375">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州信息通信建设管理办公室</w:t>
            </w:r>
          </w:p>
        </w:tc>
      </w:tr>
      <w:tr w14:paraId="317E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restart"/>
            <w:shd w:val="clear" w:color="auto" w:fill="auto"/>
            <w:vAlign w:val="center"/>
          </w:tcPr>
          <w:p w14:paraId="78EFF89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公共安全类</w:t>
            </w:r>
          </w:p>
        </w:tc>
        <w:tc>
          <w:tcPr>
            <w:tcW w:w="2415" w:type="pct"/>
            <w:shd w:val="clear" w:color="auto" w:fill="auto"/>
            <w:vAlign w:val="center"/>
          </w:tcPr>
          <w:p w14:paraId="2920369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楚雄州地质灾害防治专项规划</w:t>
            </w:r>
          </w:p>
        </w:tc>
        <w:tc>
          <w:tcPr>
            <w:tcW w:w="1741" w:type="pct"/>
            <w:shd w:val="clear" w:color="auto" w:fill="auto"/>
            <w:vAlign w:val="center"/>
          </w:tcPr>
          <w:p w14:paraId="53DBC76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州自然资源规划局</w:t>
            </w:r>
          </w:p>
        </w:tc>
      </w:tr>
      <w:tr w14:paraId="63DA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5E50F3A8">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62A05FE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楚雄州防洪工程设施专项规划</w:t>
            </w:r>
          </w:p>
        </w:tc>
        <w:tc>
          <w:tcPr>
            <w:tcW w:w="1741" w:type="pct"/>
            <w:shd w:val="clear" w:color="auto" w:fill="auto"/>
            <w:vAlign w:val="center"/>
          </w:tcPr>
          <w:p w14:paraId="3D8CF68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州水务局</w:t>
            </w:r>
          </w:p>
        </w:tc>
      </w:tr>
      <w:tr w14:paraId="1423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3DC979D3">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75535AA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楚雄州综合性应急救援基地专项规划</w:t>
            </w:r>
          </w:p>
        </w:tc>
        <w:tc>
          <w:tcPr>
            <w:tcW w:w="1741" w:type="pct"/>
            <w:shd w:val="clear" w:color="auto" w:fill="auto"/>
            <w:vAlign w:val="center"/>
          </w:tcPr>
          <w:p w14:paraId="19CACCE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州应急局</w:t>
            </w:r>
          </w:p>
        </w:tc>
      </w:tr>
      <w:tr w14:paraId="0DAD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39630C0A">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27D1A4D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楚雄州人防工程建设专项规划</w:t>
            </w:r>
          </w:p>
        </w:tc>
        <w:tc>
          <w:tcPr>
            <w:tcW w:w="1741" w:type="pct"/>
            <w:shd w:val="clear" w:color="auto" w:fill="auto"/>
            <w:vAlign w:val="center"/>
          </w:tcPr>
          <w:p w14:paraId="30AD915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州发展改革委</w:t>
            </w:r>
          </w:p>
        </w:tc>
      </w:tr>
      <w:tr w14:paraId="6A9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restart"/>
            <w:shd w:val="clear" w:color="auto" w:fill="auto"/>
            <w:vAlign w:val="center"/>
          </w:tcPr>
          <w:p w14:paraId="5599C1F3">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城乡发展类</w:t>
            </w:r>
          </w:p>
        </w:tc>
        <w:tc>
          <w:tcPr>
            <w:tcW w:w="2415" w:type="pct"/>
            <w:shd w:val="clear" w:color="auto" w:fill="auto"/>
            <w:vAlign w:val="center"/>
          </w:tcPr>
          <w:p w14:paraId="06B26192">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楚雄州城市安全和防灾减灾体系建设专项规划</w:t>
            </w:r>
          </w:p>
        </w:tc>
        <w:tc>
          <w:tcPr>
            <w:tcW w:w="1741" w:type="pct"/>
            <w:shd w:val="clear" w:color="auto" w:fill="auto"/>
            <w:vAlign w:val="center"/>
          </w:tcPr>
          <w:p w14:paraId="0455CCCC">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州住建局</w:t>
            </w:r>
          </w:p>
        </w:tc>
      </w:tr>
      <w:tr w14:paraId="0139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5B0C7267">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078DB66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楚雄州总体城市设计专项规划</w:t>
            </w:r>
          </w:p>
        </w:tc>
        <w:tc>
          <w:tcPr>
            <w:tcW w:w="1741" w:type="pct"/>
            <w:shd w:val="clear" w:color="auto" w:fill="auto"/>
            <w:vAlign w:val="center"/>
          </w:tcPr>
          <w:p w14:paraId="629B7737">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州自然资源规划局</w:t>
            </w:r>
          </w:p>
        </w:tc>
      </w:tr>
      <w:tr w14:paraId="76B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restart"/>
            <w:shd w:val="clear" w:color="auto" w:fill="auto"/>
            <w:vAlign w:val="center"/>
          </w:tcPr>
          <w:p w14:paraId="11E87469">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公共设施类</w:t>
            </w:r>
          </w:p>
        </w:tc>
        <w:tc>
          <w:tcPr>
            <w:tcW w:w="2415" w:type="pct"/>
            <w:shd w:val="clear" w:color="auto" w:fill="auto"/>
            <w:vAlign w:val="center"/>
          </w:tcPr>
          <w:p w14:paraId="1DC68B15">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楚雄州养老服务设施布局专项规划</w:t>
            </w:r>
          </w:p>
        </w:tc>
        <w:tc>
          <w:tcPr>
            <w:tcW w:w="1741" w:type="pct"/>
            <w:shd w:val="clear" w:color="auto" w:fill="auto"/>
            <w:vAlign w:val="center"/>
          </w:tcPr>
          <w:p w14:paraId="64D266AD">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州民政局</w:t>
            </w:r>
          </w:p>
        </w:tc>
      </w:tr>
      <w:tr w14:paraId="2D7D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55AC1CD8">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46DB6B80">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楚雄州殡葬设施布局专项规划</w:t>
            </w:r>
          </w:p>
        </w:tc>
        <w:tc>
          <w:tcPr>
            <w:tcW w:w="1741" w:type="pct"/>
            <w:shd w:val="clear" w:color="auto" w:fill="auto"/>
            <w:vAlign w:val="center"/>
          </w:tcPr>
          <w:p w14:paraId="6AB7EFF4">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州民政局</w:t>
            </w:r>
          </w:p>
        </w:tc>
      </w:tr>
      <w:tr w14:paraId="119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4" w:type="pct"/>
            <w:vMerge w:val="continue"/>
            <w:vAlign w:val="center"/>
          </w:tcPr>
          <w:p w14:paraId="3C8EFC9C">
            <w:pPr>
              <w:pStyle w:val="56"/>
              <w:overflowPunct w:val="0"/>
              <w:adjustRightInd/>
              <w:snapToGrid/>
              <w:spacing w:line="360" w:lineRule="exact"/>
              <w:ind w:firstLine="0" w:firstLineChars="0"/>
              <w:jc w:val="center"/>
              <w:rPr>
                <w:rFonts w:eastAsia="方正仿宋_GBK"/>
                <w:color w:val="auto"/>
                <w:sz w:val="24"/>
                <w:szCs w:val="24"/>
                <w:highlight w:val="none"/>
              </w:rPr>
            </w:pPr>
          </w:p>
        </w:tc>
        <w:tc>
          <w:tcPr>
            <w:tcW w:w="2415" w:type="pct"/>
            <w:shd w:val="clear" w:color="auto" w:fill="auto"/>
            <w:vAlign w:val="center"/>
          </w:tcPr>
          <w:p w14:paraId="547DBF9E">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楚雄州医疗卫生服务体系规划</w:t>
            </w:r>
          </w:p>
        </w:tc>
        <w:tc>
          <w:tcPr>
            <w:tcW w:w="1741" w:type="pct"/>
            <w:shd w:val="clear" w:color="auto" w:fill="auto"/>
            <w:vAlign w:val="center"/>
          </w:tcPr>
          <w:p w14:paraId="772CED28">
            <w:pPr>
              <w:pStyle w:val="56"/>
              <w:overflowPunct w:val="0"/>
              <w:adjustRightInd/>
              <w:snapToGrid/>
              <w:spacing w:line="360" w:lineRule="exact"/>
              <w:ind w:firstLine="0" w:firstLineChars="0"/>
              <w:jc w:val="center"/>
              <w:rPr>
                <w:rFonts w:eastAsia="方正仿宋_GBK"/>
                <w:color w:val="auto"/>
                <w:sz w:val="24"/>
                <w:szCs w:val="24"/>
                <w:highlight w:val="none"/>
              </w:rPr>
            </w:pPr>
            <w:r>
              <w:rPr>
                <w:rFonts w:hint="eastAsia" w:eastAsia="方正仿宋_GBK"/>
                <w:color w:val="auto"/>
                <w:sz w:val="24"/>
                <w:szCs w:val="24"/>
                <w:highlight w:val="none"/>
              </w:rPr>
              <w:t>州卫生健康委</w:t>
            </w:r>
          </w:p>
        </w:tc>
      </w:tr>
    </w:tbl>
    <w:p w14:paraId="5244A194">
      <w:pPr>
        <w:pStyle w:val="6"/>
        <w:rPr>
          <w:color w:val="auto"/>
          <w:highlight w:val="none"/>
        </w:rPr>
      </w:pPr>
      <w:r>
        <w:rPr>
          <w:rFonts w:hint="eastAsia"/>
          <w:color w:val="auto"/>
          <w:highlight w:val="none"/>
        </w:rPr>
        <w:t>三</w:t>
      </w:r>
      <w:r>
        <w:rPr>
          <w:color w:val="auto"/>
          <w:highlight w:val="none"/>
        </w:rPr>
        <w:t>、</w:t>
      </w:r>
      <w:r>
        <w:rPr>
          <w:rFonts w:hint="eastAsia"/>
          <w:color w:val="auto"/>
          <w:highlight w:val="none"/>
        </w:rPr>
        <w:t>详细规划</w:t>
      </w:r>
      <w:r>
        <w:rPr>
          <w:color w:val="auto"/>
          <w:highlight w:val="none"/>
        </w:rPr>
        <w:t>传导</w:t>
      </w:r>
    </w:p>
    <w:p w14:paraId="2DF78E92">
      <w:pPr>
        <w:ind w:firstLine="600"/>
        <w:jc w:val="left"/>
        <w:rPr>
          <w:rFonts w:eastAsia="方正仿宋_GBK"/>
          <w:color w:val="auto"/>
          <w:sz w:val="30"/>
          <w:szCs w:val="30"/>
          <w:highlight w:val="none"/>
        </w:rPr>
      </w:pPr>
      <w:r>
        <w:rPr>
          <w:rFonts w:hint="eastAsia" w:eastAsia="方正仿宋_GBK"/>
          <w:color w:val="auto"/>
          <w:sz w:val="30"/>
          <w:szCs w:val="30"/>
          <w:highlight w:val="none"/>
        </w:rPr>
        <w:t>详细规划包括城镇开发边界内详细规划、城镇开发边界外详细规划及风景名胜区详细规划等类型。城镇开发边界内详细规划编制要遵循总体规划，不得违背总体规划确定的重大基础设施和公共服务设施、重要控制线、结构性绿地和水体等强制性内容。城镇开发边界外的村庄规划，要落实上位规划确定的各类管控边界、约束性指标等管控要求，尊重村民意愿，反映村民诉求，合理安排村庄用地布局。</w:t>
      </w:r>
    </w:p>
    <w:p w14:paraId="0D254EC9">
      <w:pPr>
        <w:pStyle w:val="5"/>
        <w:rPr>
          <w:rFonts w:eastAsia="方正黑体简体"/>
          <w:color w:val="auto"/>
          <w:highlight w:val="none"/>
        </w:rPr>
      </w:pPr>
      <w:bookmarkStart w:id="277" w:name="_Toc184639412"/>
      <w:r>
        <w:rPr>
          <w:color w:val="auto"/>
          <w:highlight w:val="none"/>
        </w:rPr>
        <w:t>第三节</w:t>
      </w:r>
      <w:r>
        <w:rPr>
          <w:rFonts w:hint="eastAsia"/>
          <w:color w:val="auto"/>
          <w:highlight w:val="none"/>
        </w:rPr>
        <w:t xml:space="preserve"> 近期行动计划</w:t>
      </w:r>
      <w:bookmarkEnd w:id="277"/>
    </w:p>
    <w:p w14:paraId="6B4C1D07">
      <w:pPr>
        <w:pStyle w:val="6"/>
        <w:rPr>
          <w:color w:val="auto"/>
          <w:highlight w:val="none"/>
        </w:rPr>
      </w:pPr>
      <w:r>
        <w:rPr>
          <w:rFonts w:hint="eastAsia"/>
          <w:color w:val="auto"/>
          <w:highlight w:val="none"/>
        </w:rPr>
        <w:t>一、近期行动目标</w:t>
      </w:r>
    </w:p>
    <w:p w14:paraId="62029598">
      <w:pPr>
        <w:ind w:firstLine="600"/>
        <w:jc w:val="left"/>
        <w:rPr>
          <w:rFonts w:eastAsia="方正仿宋_GBK"/>
          <w:color w:val="auto"/>
          <w:sz w:val="30"/>
          <w:szCs w:val="30"/>
          <w:highlight w:val="none"/>
        </w:rPr>
      </w:pPr>
      <w:r>
        <w:rPr>
          <w:rFonts w:hint="eastAsia" w:eastAsia="方正仿宋_GBK"/>
          <w:color w:val="auto"/>
          <w:sz w:val="30"/>
          <w:szCs w:val="30"/>
          <w:highlight w:val="none"/>
        </w:rPr>
        <w:t>近期行动目标。落实“十四五”项目建设安排，以问题和成</w:t>
      </w:r>
      <w:r>
        <w:rPr>
          <w:rFonts w:eastAsia="方正仿宋_GBK"/>
          <w:color w:val="auto"/>
          <w:sz w:val="30"/>
          <w:szCs w:val="30"/>
          <w:highlight w:val="none"/>
        </w:rPr>
        <w:t>效为导向，聚焦关键空间，实现重点突破，至2025年实现全州生态功能大幅提升，区域协调、城乡融合、乡村振兴取得新进展，历史文化得到保护、传承和活化利用，国土空间新格局初具雏形，“绿美楚雄”基本形成。近期重点实施生态系统修复、国土综合整治、城市更新、矿山生态修复、基础设施建设五项近期行动计划和重点任务。</w:t>
      </w:r>
    </w:p>
    <w:p w14:paraId="1831D265">
      <w:pPr>
        <w:pStyle w:val="6"/>
        <w:rPr>
          <w:color w:val="auto"/>
          <w:highlight w:val="none"/>
        </w:rPr>
      </w:pPr>
      <w:r>
        <w:rPr>
          <w:rFonts w:hint="eastAsia"/>
          <w:color w:val="auto"/>
          <w:highlight w:val="none"/>
        </w:rPr>
        <w:t>二、近期重点任务和项目空间布局</w:t>
      </w:r>
    </w:p>
    <w:p w14:paraId="4A612EED">
      <w:pPr>
        <w:ind w:firstLine="600"/>
        <w:jc w:val="left"/>
        <w:rPr>
          <w:rFonts w:eastAsia="方正仿宋_GBK"/>
          <w:color w:val="auto"/>
          <w:sz w:val="30"/>
          <w:szCs w:val="30"/>
          <w:highlight w:val="none"/>
        </w:rPr>
      </w:pPr>
      <w:r>
        <w:rPr>
          <w:rFonts w:eastAsia="方正仿宋_GBK"/>
          <w:color w:val="auto"/>
          <w:sz w:val="30"/>
          <w:szCs w:val="30"/>
          <w:highlight w:val="none"/>
        </w:rPr>
        <w:t>山水林田湖草系统修复行动。生态修复应坚持山水林田湖草生命共同体的理念，以楚雄州资源环境承载能力和国土空间开发适宜性评价为本底，结合州域生态系统特征，针对全州生态功能退化、生物多样性减少、水土流失、水生态环境质量下降</w:t>
      </w:r>
      <w:r>
        <w:rPr>
          <w:rFonts w:hint="eastAsia" w:eastAsia="方正仿宋_GBK"/>
          <w:color w:val="auto"/>
          <w:sz w:val="30"/>
          <w:szCs w:val="30"/>
          <w:highlight w:val="none"/>
        </w:rPr>
        <w:t>、</w:t>
      </w:r>
      <w:r>
        <w:rPr>
          <w:rFonts w:eastAsia="方正仿宋_GBK"/>
          <w:color w:val="auto"/>
          <w:sz w:val="30"/>
          <w:szCs w:val="30"/>
          <w:highlight w:val="none"/>
        </w:rPr>
        <w:t>石漠化、地质灾害、水土污染等问题区域，明确生态系统修复的目标、重点区域和重大工程，维护生态系统，改善生态功能。规划近期实施山水林田湖草系统修复工程</w:t>
      </w:r>
      <w:r>
        <w:rPr>
          <w:rFonts w:hint="eastAsia" w:eastAsia="方正仿宋_GBK"/>
          <w:color w:val="auto"/>
          <w:sz w:val="30"/>
          <w:szCs w:val="30"/>
          <w:highlight w:val="none"/>
        </w:rPr>
        <w:t>263</w:t>
      </w:r>
      <w:r>
        <w:rPr>
          <w:rFonts w:eastAsia="方正仿宋_GBK"/>
          <w:color w:val="auto"/>
          <w:sz w:val="30"/>
          <w:szCs w:val="30"/>
          <w:highlight w:val="none"/>
        </w:rPr>
        <w:t>个。</w:t>
      </w:r>
    </w:p>
    <w:p w14:paraId="0D5229D2">
      <w:pPr>
        <w:ind w:firstLine="600"/>
        <w:jc w:val="left"/>
        <w:rPr>
          <w:rFonts w:eastAsia="方正仿宋_GBK"/>
          <w:color w:val="auto"/>
          <w:sz w:val="30"/>
          <w:szCs w:val="30"/>
          <w:highlight w:val="none"/>
        </w:rPr>
      </w:pPr>
      <w:r>
        <w:rPr>
          <w:rFonts w:eastAsia="方正仿宋_GBK"/>
          <w:color w:val="auto"/>
          <w:sz w:val="30"/>
          <w:szCs w:val="30"/>
          <w:highlight w:val="none"/>
        </w:rPr>
        <w:t>国土综合整治行动。以乡村振兴为目标，结合村庄布局优化要求，推进乡村地区田水路林村全要素综合整治，统筹高标准农田建设、城乡建设用地增减挂钩等重大工程。针对农业空间内耕地斑块破碎化、宜耕后备土地资源开发、耕地提质改造、农村建设用地粗放、人居环境不优、农业面源污染等问题，开展农村国土综合整治工程，提出农用地综合整治目标、重点区域和重大工程，促进耕地绿色生产、生态产品供给、农民居住的协调发展，优化乡村人居环境。规划近期实施国土综合整治重点项目478个。</w:t>
      </w:r>
    </w:p>
    <w:p w14:paraId="241B0A19">
      <w:pPr>
        <w:ind w:firstLine="600"/>
        <w:jc w:val="left"/>
        <w:rPr>
          <w:rFonts w:eastAsia="方正仿宋_GBK"/>
          <w:color w:val="auto"/>
          <w:sz w:val="30"/>
          <w:szCs w:val="30"/>
          <w:highlight w:val="none"/>
        </w:rPr>
      </w:pPr>
      <w:r>
        <w:rPr>
          <w:rFonts w:eastAsia="方正仿宋_GBK"/>
          <w:color w:val="auto"/>
          <w:sz w:val="30"/>
          <w:szCs w:val="30"/>
          <w:highlight w:val="none"/>
        </w:rPr>
        <w:t>城市更新行动。制定符合城市发展阶段特征的城市更新目标、策略、重点区域及时序安排，结合城市功能特点划分更新单元，明确不同单元更新类型，提出不同单元的重点内容和具体措施，有序引导老旧居住区、城中村、老旧厂区等进行有机更新，</w:t>
      </w:r>
      <w:r>
        <w:rPr>
          <w:rFonts w:hint="eastAsia" w:eastAsia="方正仿宋_GBK"/>
          <w:color w:val="auto"/>
          <w:sz w:val="30"/>
          <w:szCs w:val="30"/>
          <w:highlight w:val="none"/>
        </w:rPr>
        <w:t>完善</w:t>
      </w:r>
      <w:r>
        <w:rPr>
          <w:rFonts w:eastAsia="方正仿宋_GBK"/>
          <w:color w:val="auto"/>
          <w:sz w:val="30"/>
          <w:szCs w:val="30"/>
          <w:highlight w:val="none"/>
        </w:rPr>
        <w:t>基础设施和公共服务设施，提升人居环境。规划期</w:t>
      </w:r>
      <w:r>
        <w:rPr>
          <w:rFonts w:hint="eastAsia" w:eastAsia="方正仿宋_GBK"/>
          <w:color w:val="auto"/>
          <w:sz w:val="30"/>
          <w:szCs w:val="30"/>
          <w:highlight w:val="none"/>
        </w:rPr>
        <w:t>内</w:t>
      </w:r>
      <w:r>
        <w:rPr>
          <w:rFonts w:eastAsia="方正仿宋_GBK"/>
          <w:color w:val="auto"/>
          <w:sz w:val="30"/>
          <w:szCs w:val="30"/>
          <w:highlight w:val="none"/>
        </w:rPr>
        <w:t>实施城市更新重点项目27个。</w:t>
      </w:r>
    </w:p>
    <w:p w14:paraId="3C5F2C63">
      <w:pPr>
        <w:ind w:firstLine="600"/>
        <w:jc w:val="left"/>
        <w:rPr>
          <w:rFonts w:eastAsia="方正仿宋_GBK"/>
          <w:color w:val="auto"/>
          <w:sz w:val="30"/>
          <w:szCs w:val="30"/>
          <w:highlight w:val="none"/>
        </w:rPr>
      </w:pPr>
      <w:r>
        <w:rPr>
          <w:rFonts w:eastAsia="方正仿宋_GBK"/>
          <w:color w:val="auto"/>
          <w:sz w:val="30"/>
          <w:szCs w:val="30"/>
          <w:highlight w:val="none"/>
        </w:rPr>
        <w:t>矿山生态修复行动。积极推进矿山环境治理恢复，以重要生态区、居民生活区、采空塌陷区、废弃矿山治理为重点，明确矿产资源综合</w:t>
      </w:r>
      <w:r>
        <w:rPr>
          <w:rFonts w:hint="eastAsia" w:eastAsia="方正仿宋_GBK"/>
          <w:color w:val="auto"/>
          <w:sz w:val="30"/>
          <w:szCs w:val="30"/>
          <w:highlight w:val="none"/>
        </w:rPr>
        <w:t>治理</w:t>
      </w:r>
      <w:r>
        <w:rPr>
          <w:rFonts w:eastAsia="方正仿宋_GBK"/>
          <w:color w:val="auto"/>
          <w:sz w:val="30"/>
          <w:szCs w:val="30"/>
          <w:highlight w:val="none"/>
        </w:rPr>
        <w:t>的空间布局、类型和规模，提出矿山废弃地开发利用可能与方向。提出矿山企业改造升级、绿色矿山建设目标与规模，从源头上减轻矿产开发活动对生态环境的负面影响。规划近期实施矿山生态修复工程项目332个。</w:t>
      </w:r>
    </w:p>
    <w:p w14:paraId="2A369A7F">
      <w:pPr>
        <w:ind w:firstLine="600"/>
        <w:jc w:val="left"/>
        <w:rPr>
          <w:rFonts w:eastAsia="方正仿宋_GBK"/>
          <w:color w:val="auto"/>
          <w:sz w:val="30"/>
          <w:szCs w:val="30"/>
          <w:highlight w:val="none"/>
        </w:rPr>
      </w:pPr>
      <w:r>
        <w:rPr>
          <w:rFonts w:eastAsia="方正仿宋_GBK"/>
          <w:color w:val="auto"/>
          <w:sz w:val="30"/>
          <w:szCs w:val="30"/>
          <w:highlight w:val="none"/>
        </w:rPr>
        <w:t>重大基础设施建设行动。“十四五”时期，是全州基础设施建设的重要时期，规划近期重大基础设施工程项目1511个，包括交通、水利、能源、通讯、电力等。</w:t>
      </w:r>
    </w:p>
    <w:p w14:paraId="0BD1CD63">
      <w:pPr>
        <w:pStyle w:val="5"/>
        <w:rPr>
          <w:rFonts w:eastAsia="方正黑体简体"/>
          <w:color w:val="auto"/>
          <w:highlight w:val="none"/>
        </w:rPr>
      </w:pPr>
      <w:bookmarkStart w:id="278" w:name="_Toc274"/>
      <w:bookmarkStart w:id="279" w:name="_Toc184639413"/>
      <w:bookmarkStart w:id="280" w:name="_Toc131433360"/>
      <w:bookmarkStart w:id="281" w:name="_Toc131433194"/>
      <w:r>
        <w:rPr>
          <w:color w:val="auto"/>
          <w:highlight w:val="none"/>
        </w:rPr>
        <w:t>第</w:t>
      </w:r>
      <w:r>
        <w:rPr>
          <w:rFonts w:hint="eastAsia"/>
          <w:color w:val="auto"/>
          <w:highlight w:val="none"/>
        </w:rPr>
        <w:t>四</w:t>
      </w:r>
      <w:r>
        <w:rPr>
          <w:color w:val="auto"/>
          <w:highlight w:val="none"/>
        </w:rPr>
        <w:t>节</w:t>
      </w:r>
      <w:r>
        <w:rPr>
          <w:rFonts w:hint="eastAsia" w:eastAsia="方正黑体简体"/>
          <w:color w:val="auto"/>
          <w:highlight w:val="none"/>
        </w:rPr>
        <w:t xml:space="preserve"> </w:t>
      </w:r>
      <w:r>
        <w:rPr>
          <w:color w:val="auto"/>
          <w:highlight w:val="none"/>
        </w:rPr>
        <w:t>建立规划实施机制</w:t>
      </w:r>
      <w:bookmarkEnd w:id="278"/>
      <w:bookmarkEnd w:id="279"/>
      <w:bookmarkEnd w:id="280"/>
      <w:bookmarkEnd w:id="281"/>
    </w:p>
    <w:p w14:paraId="0AC0FAE0">
      <w:pPr>
        <w:pStyle w:val="6"/>
        <w:rPr>
          <w:color w:val="auto"/>
          <w:highlight w:val="none"/>
        </w:rPr>
      </w:pPr>
      <w:r>
        <w:rPr>
          <w:color w:val="auto"/>
          <w:highlight w:val="none"/>
        </w:rPr>
        <w:t>一、建立健全空间规划管理制度</w:t>
      </w:r>
    </w:p>
    <w:p w14:paraId="286527C9">
      <w:pPr>
        <w:ind w:firstLine="600"/>
        <w:jc w:val="left"/>
        <w:rPr>
          <w:rFonts w:eastAsia="方正仿宋_GBK"/>
          <w:color w:val="auto"/>
          <w:sz w:val="30"/>
          <w:szCs w:val="30"/>
          <w:highlight w:val="none"/>
        </w:rPr>
      </w:pPr>
      <w:r>
        <w:rPr>
          <w:rFonts w:eastAsia="方正仿宋_GBK"/>
          <w:color w:val="auto"/>
          <w:sz w:val="30"/>
          <w:szCs w:val="30"/>
          <w:highlight w:val="none"/>
        </w:rPr>
        <w:t>建立健全州、县（市）国土空间规划委员会制度，发挥国土空间总体规划编制实施管理重大问题的统筹协调和议事决策作用。健全</w:t>
      </w:r>
      <w:r>
        <w:rPr>
          <w:rFonts w:hint="eastAsia" w:eastAsia="方正仿宋_GBK"/>
          <w:color w:val="auto"/>
          <w:sz w:val="30"/>
          <w:szCs w:val="30"/>
          <w:highlight w:val="none"/>
        </w:rPr>
        <w:t>“</w:t>
      </w:r>
      <w:r>
        <w:rPr>
          <w:rFonts w:eastAsia="方正仿宋_GBK"/>
          <w:color w:val="auto"/>
          <w:sz w:val="30"/>
          <w:szCs w:val="30"/>
          <w:highlight w:val="none"/>
        </w:rPr>
        <w:t>规委统筹、州县（市）联动</w:t>
      </w:r>
      <w:r>
        <w:rPr>
          <w:rFonts w:hint="eastAsia" w:eastAsia="方正仿宋_GBK"/>
          <w:color w:val="auto"/>
          <w:sz w:val="30"/>
          <w:szCs w:val="30"/>
          <w:highlight w:val="none"/>
        </w:rPr>
        <w:t>”</w:t>
      </w:r>
      <w:r>
        <w:rPr>
          <w:rFonts w:eastAsia="方正仿宋_GBK"/>
          <w:color w:val="auto"/>
          <w:sz w:val="30"/>
          <w:szCs w:val="30"/>
          <w:highlight w:val="none"/>
        </w:rPr>
        <w:t>工作机制，完善各级规委会全体会议制度和议事规则。健全各级规委会办公室主任办公会议制度，研究国土空间总体规划、建设、管理的重要问题。完善各级规委会联络员会议制度，通报重要情况，研究协调有关问题。发挥规委会统筹协调作用，健全各部门联动机制和区域协同机制。建立重大事项报告制度，规划执行中遇有重大事项，及时向州委、州政府请示报告。</w:t>
      </w:r>
    </w:p>
    <w:p w14:paraId="4BB41DA4">
      <w:pPr>
        <w:pStyle w:val="6"/>
        <w:rPr>
          <w:color w:val="auto"/>
          <w:highlight w:val="none"/>
        </w:rPr>
      </w:pPr>
      <w:r>
        <w:rPr>
          <w:color w:val="auto"/>
          <w:highlight w:val="none"/>
        </w:rPr>
        <w:t>二、建立统一的国土空间基础信息平台</w:t>
      </w:r>
    </w:p>
    <w:p w14:paraId="57E1EB54">
      <w:pPr>
        <w:ind w:firstLine="600"/>
        <w:jc w:val="left"/>
        <w:rPr>
          <w:rFonts w:eastAsia="方正仿宋_GBK"/>
          <w:color w:val="auto"/>
          <w:sz w:val="30"/>
          <w:szCs w:val="30"/>
          <w:highlight w:val="none"/>
        </w:rPr>
      </w:pPr>
      <w:r>
        <w:rPr>
          <w:rFonts w:eastAsia="方正仿宋_GBK"/>
          <w:color w:val="auto"/>
          <w:sz w:val="30"/>
          <w:szCs w:val="30"/>
          <w:highlight w:val="none"/>
        </w:rPr>
        <w:t>国土空间基础信息平台是形成国土空间规划</w:t>
      </w:r>
      <w:r>
        <w:rPr>
          <w:rFonts w:hint="eastAsia" w:eastAsia="方正仿宋_GBK"/>
          <w:color w:val="auto"/>
          <w:sz w:val="30"/>
          <w:szCs w:val="30"/>
          <w:highlight w:val="none"/>
        </w:rPr>
        <w:t>“</w:t>
      </w:r>
      <w:r>
        <w:rPr>
          <w:rFonts w:eastAsia="方正仿宋_GBK"/>
          <w:color w:val="auto"/>
          <w:sz w:val="30"/>
          <w:szCs w:val="30"/>
          <w:highlight w:val="none"/>
        </w:rPr>
        <w:t>一张图</w:t>
      </w:r>
      <w:r>
        <w:rPr>
          <w:rFonts w:hint="eastAsia" w:eastAsia="方正仿宋_GBK"/>
          <w:color w:val="auto"/>
          <w:sz w:val="30"/>
          <w:szCs w:val="30"/>
          <w:highlight w:val="none"/>
        </w:rPr>
        <w:t>”</w:t>
      </w:r>
      <w:r>
        <w:rPr>
          <w:rFonts w:eastAsia="方正仿宋_GBK"/>
          <w:color w:val="auto"/>
          <w:sz w:val="30"/>
          <w:szCs w:val="30"/>
          <w:highlight w:val="none"/>
        </w:rPr>
        <w:t>的基础载体，以全州基础地理信息成果和国土调查成果为基础，采用全国统一的测绘基准和测绘系统</w:t>
      </w:r>
      <w:r>
        <w:rPr>
          <w:rFonts w:hint="eastAsia" w:eastAsia="方正仿宋_GBK"/>
          <w:color w:val="auto"/>
          <w:sz w:val="30"/>
          <w:szCs w:val="30"/>
          <w:highlight w:val="none"/>
        </w:rPr>
        <w:t>，</w:t>
      </w:r>
      <w:r>
        <w:rPr>
          <w:rFonts w:eastAsia="方正仿宋_GBK"/>
          <w:color w:val="auto"/>
          <w:sz w:val="30"/>
          <w:szCs w:val="30"/>
          <w:highlight w:val="none"/>
        </w:rPr>
        <w:t>统筹地理国情、森林、草原、水、湿地等专项调查和相关评价数据，融合人口经济社会等相关空间数据，形成覆盖全域、动态更新、权威统一的国土空间数字化底板，按照国土空间数据标准，规划数据汇交要求等，在确保数据安全前提下，提供数据汇集管理、资源管理、查询分析、浏览展示、应用服务等功能，为国土空间规划编制、行政审批、国土空间开发利用监测监管、空间决策分析等应用提供数据支撑和技术保障，最终建立共建共享共用、全州统一、县（市）联动的国土空间基础信息平台。建立各部门共建共享共用州、县（市）联动的国土空间基础信息平台，做好与省级平台的对接，全面实现省—州—县纵向贯通，推进与其他相关部门信息平台的横向联通和数据共享。</w:t>
      </w:r>
    </w:p>
    <w:p w14:paraId="110DCBB0">
      <w:pPr>
        <w:ind w:firstLine="600"/>
        <w:jc w:val="left"/>
        <w:rPr>
          <w:color w:val="auto"/>
          <w:sz w:val="30"/>
          <w:szCs w:val="30"/>
          <w:highlight w:val="none"/>
        </w:rPr>
      </w:pPr>
      <w:r>
        <w:rPr>
          <w:rFonts w:eastAsia="方正仿宋_GBK"/>
          <w:color w:val="auto"/>
          <w:sz w:val="30"/>
          <w:szCs w:val="30"/>
          <w:highlight w:val="none"/>
        </w:rPr>
        <w:t>基于国土空间基础信息平台，构建覆盖规划编制、审查、实施、监测、评估、预警全生命周期的国土空间规划</w:t>
      </w:r>
      <w:r>
        <w:rPr>
          <w:rFonts w:hint="eastAsia" w:eastAsia="方正仿宋_GBK"/>
          <w:color w:val="auto"/>
          <w:sz w:val="30"/>
          <w:szCs w:val="30"/>
          <w:highlight w:val="none"/>
        </w:rPr>
        <w:t>“</w:t>
      </w:r>
      <w:r>
        <w:rPr>
          <w:rFonts w:eastAsia="方正仿宋_GBK"/>
          <w:color w:val="auto"/>
          <w:sz w:val="30"/>
          <w:szCs w:val="30"/>
          <w:highlight w:val="none"/>
        </w:rPr>
        <w:t>一张图</w:t>
      </w:r>
      <w:r>
        <w:rPr>
          <w:rFonts w:hint="eastAsia" w:eastAsia="方正仿宋_GBK"/>
          <w:color w:val="auto"/>
          <w:sz w:val="30"/>
          <w:szCs w:val="30"/>
          <w:highlight w:val="none"/>
        </w:rPr>
        <w:t>”</w:t>
      </w:r>
      <w:r>
        <w:rPr>
          <w:rFonts w:eastAsia="方正仿宋_GBK"/>
          <w:color w:val="auto"/>
          <w:sz w:val="30"/>
          <w:szCs w:val="30"/>
          <w:highlight w:val="none"/>
        </w:rPr>
        <w:t>实施监督信息系统。建设国土空间规划实施监测网络，对资源环境承载能力和国土空间开发适宜性、国土空间开发保护状况实施动态监测评估，对重要控制线、重大战略区域、重点区域等规划实施情况和重大工程、重点领域、突出问题等的监测预警，完善国土空间数据共建共享机制。</w:t>
      </w:r>
    </w:p>
    <w:p w14:paraId="594BCE11">
      <w:pPr>
        <w:pStyle w:val="6"/>
        <w:rPr>
          <w:color w:val="auto"/>
          <w:highlight w:val="none"/>
        </w:rPr>
      </w:pPr>
      <w:r>
        <w:rPr>
          <w:color w:val="auto"/>
          <w:highlight w:val="none"/>
        </w:rPr>
        <w:t>三、建立规划实施动态监测评估预警制度</w:t>
      </w:r>
    </w:p>
    <w:p w14:paraId="4C2D45AE">
      <w:pPr>
        <w:ind w:firstLine="600"/>
        <w:jc w:val="left"/>
        <w:rPr>
          <w:color w:val="auto"/>
          <w:sz w:val="30"/>
          <w:szCs w:val="30"/>
          <w:highlight w:val="none"/>
        </w:rPr>
      </w:pPr>
      <w:r>
        <w:rPr>
          <w:rFonts w:eastAsia="方正仿宋_GBK"/>
          <w:color w:val="auto"/>
          <w:sz w:val="30"/>
          <w:szCs w:val="30"/>
          <w:highlight w:val="none"/>
        </w:rPr>
        <w:t>完善定期体检评估制度。依托国土空间规划</w:t>
      </w:r>
      <w:r>
        <w:rPr>
          <w:rFonts w:hint="eastAsia" w:eastAsia="方正仿宋_GBK"/>
          <w:color w:val="auto"/>
          <w:sz w:val="30"/>
          <w:szCs w:val="30"/>
          <w:highlight w:val="none"/>
        </w:rPr>
        <w:t>“</w:t>
      </w:r>
      <w:r>
        <w:rPr>
          <w:rFonts w:eastAsia="方正仿宋_GBK"/>
          <w:color w:val="auto"/>
          <w:sz w:val="30"/>
          <w:szCs w:val="30"/>
          <w:highlight w:val="none"/>
        </w:rPr>
        <w:t>一张图</w:t>
      </w:r>
      <w:r>
        <w:rPr>
          <w:rFonts w:hint="eastAsia" w:eastAsia="方正仿宋_GBK"/>
          <w:color w:val="auto"/>
          <w:sz w:val="30"/>
          <w:szCs w:val="30"/>
          <w:highlight w:val="none"/>
        </w:rPr>
        <w:t>”</w:t>
      </w:r>
      <w:r>
        <w:rPr>
          <w:rFonts w:eastAsia="方正仿宋_GBK"/>
          <w:color w:val="auto"/>
          <w:sz w:val="30"/>
          <w:szCs w:val="30"/>
          <w:highlight w:val="none"/>
        </w:rPr>
        <w:t>实施监督信息系统，按照</w:t>
      </w:r>
      <w:r>
        <w:rPr>
          <w:rFonts w:hint="eastAsia" w:eastAsia="方正仿宋_GBK"/>
          <w:color w:val="auto"/>
          <w:sz w:val="30"/>
          <w:szCs w:val="30"/>
          <w:highlight w:val="none"/>
        </w:rPr>
        <w:t>“</w:t>
      </w:r>
      <w:r>
        <w:rPr>
          <w:rFonts w:eastAsia="方正仿宋_GBK"/>
          <w:color w:val="auto"/>
          <w:sz w:val="30"/>
          <w:szCs w:val="30"/>
          <w:highlight w:val="none"/>
        </w:rPr>
        <w:t>定期体检和五年一评估</w:t>
      </w:r>
      <w:r>
        <w:rPr>
          <w:rFonts w:hint="eastAsia" w:eastAsia="方正仿宋_GBK"/>
          <w:color w:val="auto"/>
          <w:sz w:val="30"/>
          <w:szCs w:val="30"/>
          <w:highlight w:val="none"/>
        </w:rPr>
        <w:t>”</w:t>
      </w:r>
      <w:r>
        <w:rPr>
          <w:rFonts w:eastAsia="方正仿宋_GBK"/>
          <w:color w:val="auto"/>
          <w:sz w:val="30"/>
          <w:szCs w:val="30"/>
          <w:highlight w:val="none"/>
        </w:rPr>
        <w:t>的要求，建立国土空间总体规划实施监测评估预警机制，定期开展监测评估。健全规划实施考核督查制度。将规划评估作为规划实施监督考核的重要内容，将规划执行情况纳入自然资源和相关部门监管重点，以及自然资源督查工作重点，及时发现和纠正违反国土空间规划的各类行为。建立健全规划监督、执法、问责联动机制，创新监管手段，强化监督信息互通、成果共享，形成各方监督合力。加强纪检监察机关监管、对失职失责的领导干部依规依纪依法严格问责、终身问责。</w:t>
      </w:r>
    </w:p>
    <w:p w14:paraId="7FD70670">
      <w:pPr>
        <w:pStyle w:val="6"/>
        <w:rPr>
          <w:color w:val="auto"/>
          <w:highlight w:val="none"/>
        </w:rPr>
      </w:pPr>
      <w:r>
        <w:rPr>
          <w:color w:val="auto"/>
          <w:highlight w:val="none"/>
        </w:rPr>
        <w:t>四、强化全过程公众参与</w:t>
      </w:r>
    </w:p>
    <w:p w14:paraId="771EFBE8">
      <w:pPr>
        <w:ind w:firstLine="600"/>
        <w:jc w:val="left"/>
        <w:rPr>
          <w:rFonts w:eastAsia="方正仿宋_GBK"/>
          <w:color w:val="auto"/>
          <w:sz w:val="30"/>
          <w:szCs w:val="30"/>
          <w:highlight w:val="none"/>
        </w:rPr>
      </w:pPr>
      <w:r>
        <w:rPr>
          <w:rFonts w:eastAsia="方正仿宋_GBK"/>
          <w:color w:val="auto"/>
          <w:sz w:val="30"/>
          <w:szCs w:val="30"/>
          <w:highlight w:val="none"/>
        </w:rPr>
        <w:t>搭建全过程、全方位的公众参与平台，建立贯穿规划编制、实施、监督及国土空间治理全过程的公众参与机制，保障公众依法及时获取规划信息并有效反馈意见，鼓励和引导社会组织成为代表公众参与规划实施的主体，引导公众积极为规划</w:t>
      </w:r>
      <w:r>
        <w:rPr>
          <w:rFonts w:hint="eastAsia" w:eastAsia="方正仿宋_GBK"/>
          <w:color w:val="auto"/>
          <w:sz w:val="30"/>
          <w:szCs w:val="30"/>
          <w:highlight w:val="none"/>
        </w:rPr>
        <w:t>建言</w:t>
      </w:r>
      <w:r>
        <w:rPr>
          <w:rFonts w:eastAsia="方正仿宋_GBK"/>
          <w:color w:val="auto"/>
          <w:sz w:val="30"/>
          <w:szCs w:val="30"/>
          <w:highlight w:val="none"/>
        </w:rPr>
        <w:t>。探索建立多方协商、共建共治的社区自治方式，引导和鼓励公众、企业等有序参与规划制定、决策和实施。加强规划信息的宣传和普及，建立常态化规划宣传和交流互动机制。建设规划展览馆，普及规划知识，提高社会公众对规划的理解和认识。建立健全责任（乡村、社区）规划师制度。</w:t>
      </w:r>
    </w:p>
    <w:p w14:paraId="1650A162">
      <w:pPr>
        <w:ind w:firstLine="0" w:firstLineChars="0"/>
        <w:rPr>
          <w:color w:val="auto"/>
          <w:highlight w:val="none"/>
        </w:rPr>
        <w:sectPr>
          <w:pgSz w:w="11906" w:h="16838"/>
          <w:pgMar w:top="2041" w:right="1644" w:bottom="1871" w:left="1644" w:header="851" w:footer="992" w:gutter="0"/>
          <w:cols w:space="425" w:num="1"/>
          <w:docGrid w:type="linesAndChars" w:linePitch="587" w:charSpace="0"/>
        </w:sectPr>
      </w:pPr>
    </w:p>
    <w:p w14:paraId="237FFA64">
      <w:pPr>
        <w:pStyle w:val="63"/>
        <w:rPr>
          <w:b/>
          <w:color w:val="auto"/>
          <w:highlight w:val="none"/>
        </w:rPr>
      </w:pPr>
      <w:bookmarkStart w:id="282" w:name="_Toc184639425"/>
      <w:r>
        <w:rPr>
          <w:color w:val="auto"/>
          <w:highlight w:val="none"/>
        </w:rPr>
        <w:t xml:space="preserve">附 </w:t>
      </w:r>
      <w:r>
        <w:rPr>
          <w:rFonts w:hint="eastAsia"/>
          <w:color w:val="auto"/>
          <w:highlight w:val="none"/>
        </w:rPr>
        <w:t>图</w:t>
      </w:r>
      <w:bookmarkEnd w:id="282"/>
    </w:p>
    <w:p w14:paraId="1AC33E01">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州域耕地和永久基本农田保护红线图</w:t>
      </w:r>
    </w:p>
    <w:p w14:paraId="2F985E9E">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州域生态保护红线图</w:t>
      </w:r>
    </w:p>
    <w:p w14:paraId="5BC69AE7">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州域城镇开发边界图</w:t>
      </w:r>
    </w:p>
    <w:p w14:paraId="60EBE8F1">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州域国土空间控制线规划图</w:t>
      </w:r>
    </w:p>
    <w:p w14:paraId="5666F49F">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州域国土空间总体格局规划图</w:t>
      </w:r>
    </w:p>
    <w:p w14:paraId="421A2E70">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县级行政区主体功能定位分布图</w:t>
      </w:r>
    </w:p>
    <w:p w14:paraId="137B37F1">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乡镇行政区主体功能定位分布图</w:t>
      </w:r>
    </w:p>
    <w:p w14:paraId="5CC492E6">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州域农业空间规划图</w:t>
      </w:r>
    </w:p>
    <w:p w14:paraId="136BFF64">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州域生态系统保护规划图</w:t>
      </w:r>
    </w:p>
    <w:p w14:paraId="38217C2D">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州域城镇空间格局示意图</w:t>
      </w:r>
    </w:p>
    <w:p w14:paraId="0088C4D4">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州域生态修复和综合整治规划图</w:t>
      </w:r>
    </w:p>
    <w:p w14:paraId="3D23787D">
      <w:pPr>
        <w:pStyle w:val="56"/>
        <w:numPr>
          <w:ilvl w:val="0"/>
          <w:numId w:val="1"/>
        </w:numPr>
        <w:spacing w:line="560" w:lineRule="exact"/>
        <w:ind w:left="560" w:hanging="560" w:hangingChars="2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州域魅力空间格局图</w:t>
      </w:r>
    </w:p>
    <w:p w14:paraId="1D95C9BF">
      <w:pPr>
        <w:pStyle w:val="3"/>
        <w:ind w:left="2560" w:firstLine="400"/>
        <w:jc w:val="both"/>
        <w:rPr>
          <w:color w:val="auto"/>
          <w:highlight w:val="none"/>
          <w:lang w:val="zh-CN"/>
        </w:rPr>
      </w:pPr>
    </w:p>
    <w:sectPr>
      <w:headerReference r:id="rId12" w:type="default"/>
      <w:footerReference r:id="rId13" w:type="default"/>
      <w:pgSz w:w="11906" w:h="16838"/>
      <w:pgMar w:top="1644" w:right="1871" w:bottom="1644" w:left="2041"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2"/>
      </w:pPr>
      <w:r>
        <w:separator/>
      </w:r>
    </w:p>
  </w:endnote>
  <w:endnote w:type="continuationSeparator" w:id="1">
    <w:p>
      <w:pPr>
        <w:spacing w:line="240" w:lineRule="auto"/>
        <w:ind w:firstLine="6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楷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E23D">
    <w:pPr>
      <w:pStyle w:val="20"/>
      <w:ind w:firstLine="360"/>
      <w:jc w:val="center"/>
    </w:pPr>
  </w:p>
  <w:p w14:paraId="00584BBD">
    <w:pPr>
      <w:pStyle w:val="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31B6">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0AD6">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D908">
    <w:pPr>
      <w:pStyle w:val="20"/>
      <w:ind w:firstLine="360"/>
      <w:jc w:val="center"/>
    </w:pPr>
    <w:r>
      <w:fldChar w:fldCharType="begin"/>
    </w:r>
    <w:r>
      <w:instrText xml:space="preserve">PAGE   \* MERGEFORMAT</w:instrText>
    </w:r>
    <w:r>
      <w:fldChar w:fldCharType="separate"/>
    </w:r>
    <w:r>
      <w:rPr>
        <w:lang w:val="zh-CN"/>
      </w:rPr>
      <w:t>124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796637"/>
      <w:docPartObj>
        <w:docPartGallery w:val="autotext"/>
      </w:docPartObj>
    </w:sdtPr>
    <w:sdtContent>
      <w:p w14:paraId="749A2E2B">
        <w:pPr>
          <w:pStyle w:val="20"/>
          <w:ind w:firstLine="360"/>
          <w:jc w:val="center"/>
        </w:pPr>
        <w:r>
          <w:fldChar w:fldCharType="begin"/>
        </w:r>
        <w:r>
          <w:instrText xml:space="preserve">PAGE   \* MERGEFORMAT</w:instrText>
        </w:r>
        <w:r>
          <w:fldChar w:fldCharType="separate"/>
        </w:r>
        <w:r>
          <w:rPr>
            <w:lang w:val="zh-CN"/>
          </w:rPr>
          <w:t>189</w:t>
        </w:r>
        <w:r>
          <w:fldChar w:fldCharType="end"/>
        </w:r>
      </w:p>
    </w:sdtContent>
  </w:sdt>
  <w:p w14:paraId="071E573D">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62"/>
      </w:pPr>
      <w:r>
        <w:separator/>
      </w:r>
    </w:p>
  </w:footnote>
  <w:footnote w:type="continuationSeparator" w:id="3">
    <w:p>
      <w:pPr>
        <w:spacing w:line="240" w:lineRule="auto"/>
        <w:ind w:firstLine="662"/>
      </w:pPr>
      <w:r>
        <w:continuationSeparator/>
      </w:r>
    </w:p>
  </w:footnote>
  <w:footnote w:id="0">
    <w:p w14:paraId="5616AA78">
      <w:pPr>
        <w:pStyle w:val="25"/>
        <w:spacing w:line="400" w:lineRule="exact"/>
        <w:ind w:firstLine="360"/>
        <w:rPr>
          <w:rFonts w:eastAsia="方正仿宋_GBK"/>
          <w:highlight w:val="cyan"/>
        </w:rPr>
      </w:pPr>
      <w:r>
        <w:rPr>
          <w:rStyle w:val="41"/>
          <w:rFonts w:eastAsia="方正仿宋_GBK"/>
        </w:rPr>
        <w:footnoteRef/>
      </w:r>
      <w:r>
        <w:rPr>
          <w:rFonts w:eastAsia="方正仿宋_GBK"/>
        </w:rPr>
        <w:t xml:space="preserve"> 《楚雄州第七次全国人口普查主要数据公报》，2020年楚雄州总人口（常住人口）为2416747人，城镇人口1083258人，城镇化率44.82%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6DD7">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18293">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D6FD">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BB9B">
    <w:pPr>
      <w:pStyle w:val="2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46A0C"/>
    <w:multiLevelType w:val="multilevel"/>
    <w:tmpl w:val="77346A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trackRevisions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dhM2MyYzM3NWI0YTdiNmI3NDg1YWY3Mjg5OWMifQ=="/>
    <w:docVar w:name="KSO_WPS_MARK_KEY" w:val="53cb1480-2db1-4621-a086-200648d5e76c"/>
  </w:docVars>
  <w:rsids>
    <w:rsidRoot w:val="472405E9"/>
    <w:rsid w:val="000011B9"/>
    <w:rsid w:val="000020E4"/>
    <w:rsid w:val="00002536"/>
    <w:rsid w:val="0000356D"/>
    <w:rsid w:val="000039D6"/>
    <w:rsid w:val="000064E3"/>
    <w:rsid w:val="00006E98"/>
    <w:rsid w:val="00007168"/>
    <w:rsid w:val="0001087A"/>
    <w:rsid w:val="00011325"/>
    <w:rsid w:val="00011585"/>
    <w:rsid w:val="00011FCD"/>
    <w:rsid w:val="000123AD"/>
    <w:rsid w:val="0001298A"/>
    <w:rsid w:val="0001310F"/>
    <w:rsid w:val="00013946"/>
    <w:rsid w:val="00014CA2"/>
    <w:rsid w:val="000156FC"/>
    <w:rsid w:val="00015AC3"/>
    <w:rsid w:val="000163B1"/>
    <w:rsid w:val="000167AA"/>
    <w:rsid w:val="00017023"/>
    <w:rsid w:val="0001793A"/>
    <w:rsid w:val="0002071F"/>
    <w:rsid w:val="00021DC0"/>
    <w:rsid w:val="00022258"/>
    <w:rsid w:val="000232D1"/>
    <w:rsid w:val="00025C51"/>
    <w:rsid w:val="00025EEA"/>
    <w:rsid w:val="000271DB"/>
    <w:rsid w:val="00030247"/>
    <w:rsid w:val="00031194"/>
    <w:rsid w:val="00033861"/>
    <w:rsid w:val="00033B56"/>
    <w:rsid w:val="00034808"/>
    <w:rsid w:val="00036755"/>
    <w:rsid w:val="0003721A"/>
    <w:rsid w:val="00037D70"/>
    <w:rsid w:val="0004082D"/>
    <w:rsid w:val="00042B57"/>
    <w:rsid w:val="00042D27"/>
    <w:rsid w:val="00043920"/>
    <w:rsid w:val="00043979"/>
    <w:rsid w:val="0004430A"/>
    <w:rsid w:val="00044DCF"/>
    <w:rsid w:val="000450AD"/>
    <w:rsid w:val="000455D6"/>
    <w:rsid w:val="000457BA"/>
    <w:rsid w:val="00045FFD"/>
    <w:rsid w:val="00046F23"/>
    <w:rsid w:val="000470A5"/>
    <w:rsid w:val="00051DB1"/>
    <w:rsid w:val="00051E39"/>
    <w:rsid w:val="000533B9"/>
    <w:rsid w:val="0005374B"/>
    <w:rsid w:val="00054B64"/>
    <w:rsid w:val="00055F85"/>
    <w:rsid w:val="000575E1"/>
    <w:rsid w:val="00057EFC"/>
    <w:rsid w:val="00057FF1"/>
    <w:rsid w:val="00060333"/>
    <w:rsid w:val="00060631"/>
    <w:rsid w:val="00062066"/>
    <w:rsid w:val="000622C1"/>
    <w:rsid w:val="0006298C"/>
    <w:rsid w:val="000629F2"/>
    <w:rsid w:val="00062EC8"/>
    <w:rsid w:val="00064666"/>
    <w:rsid w:val="0006493F"/>
    <w:rsid w:val="00064E0D"/>
    <w:rsid w:val="00065024"/>
    <w:rsid w:val="00066707"/>
    <w:rsid w:val="00066E82"/>
    <w:rsid w:val="0006739B"/>
    <w:rsid w:val="00067CEC"/>
    <w:rsid w:val="00067F2B"/>
    <w:rsid w:val="00070448"/>
    <w:rsid w:val="00071C6D"/>
    <w:rsid w:val="0007209C"/>
    <w:rsid w:val="000721C9"/>
    <w:rsid w:val="000727E8"/>
    <w:rsid w:val="00072A36"/>
    <w:rsid w:val="00074F9C"/>
    <w:rsid w:val="000766D3"/>
    <w:rsid w:val="000829F6"/>
    <w:rsid w:val="00082E20"/>
    <w:rsid w:val="00082FC2"/>
    <w:rsid w:val="00083594"/>
    <w:rsid w:val="00084F1D"/>
    <w:rsid w:val="00085232"/>
    <w:rsid w:val="00086B8A"/>
    <w:rsid w:val="0008706E"/>
    <w:rsid w:val="00087305"/>
    <w:rsid w:val="0008735B"/>
    <w:rsid w:val="00087D30"/>
    <w:rsid w:val="00090E9D"/>
    <w:rsid w:val="00091807"/>
    <w:rsid w:val="00091D7A"/>
    <w:rsid w:val="00092329"/>
    <w:rsid w:val="00092858"/>
    <w:rsid w:val="00093073"/>
    <w:rsid w:val="00093F7F"/>
    <w:rsid w:val="00094882"/>
    <w:rsid w:val="00095359"/>
    <w:rsid w:val="00095A97"/>
    <w:rsid w:val="000977D3"/>
    <w:rsid w:val="000A015F"/>
    <w:rsid w:val="000A1203"/>
    <w:rsid w:val="000A1333"/>
    <w:rsid w:val="000A1670"/>
    <w:rsid w:val="000A16CE"/>
    <w:rsid w:val="000A36CD"/>
    <w:rsid w:val="000A3B6F"/>
    <w:rsid w:val="000A5C6B"/>
    <w:rsid w:val="000A66B4"/>
    <w:rsid w:val="000A6F39"/>
    <w:rsid w:val="000A7D1F"/>
    <w:rsid w:val="000B05BA"/>
    <w:rsid w:val="000B11C2"/>
    <w:rsid w:val="000B1FE8"/>
    <w:rsid w:val="000B265B"/>
    <w:rsid w:val="000B327B"/>
    <w:rsid w:val="000B3FD7"/>
    <w:rsid w:val="000B4224"/>
    <w:rsid w:val="000B4697"/>
    <w:rsid w:val="000B59D5"/>
    <w:rsid w:val="000B7310"/>
    <w:rsid w:val="000B7D58"/>
    <w:rsid w:val="000C1575"/>
    <w:rsid w:val="000C1F97"/>
    <w:rsid w:val="000C291F"/>
    <w:rsid w:val="000C2C04"/>
    <w:rsid w:val="000C34CB"/>
    <w:rsid w:val="000C3FEF"/>
    <w:rsid w:val="000C4F4A"/>
    <w:rsid w:val="000C5FBA"/>
    <w:rsid w:val="000C5FF9"/>
    <w:rsid w:val="000C6E87"/>
    <w:rsid w:val="000C764B"/>
    <w:rsid w:val="000D0135"/>
    <w:rsid w:val="000D03D9"/>
    <w:rsid w:val="000D0602"/>
    <w:rsid w:val="000D0D51"/>
    <w:rsid w:val="000D1FD6"/>
    <w:rsid w:val="000D213C"/>
    <w:rsid w:val="000D28E3"/>
    <w:rsid w:val="000D2A39"/>
    <w:rsid w:val="000D2D84"/>
    <w:rsid w:val="000D43D9"/>
    <w:rsid w:val="000D45B8"/>
    <w:rsid w:val="000D460A"/>
    <w:rsid w:val="000D4827"/>
    <w:rsid w:val="000D53A8"/>
    <w:rsid w:val="000D58E6"/>
    <w:rsid w:val="000D6A50"/>
    <w:rsid w:val="000D6F02"/>
    <w:rsid w:val="000D7D65"/>
    <w:rsid w:val="000E01C0"/>
    <w:rsid w:val="000E05C6"/>
    <w:rsid w:val="000E0E1B"/>
    <w:rsid w:val="000E10BF"/>
    <w:rsid w:val="000E1C21"/>
    <w:rsid w:val="000E2140"/>
    <w:rsid w:val="000E4146"/>
    <w:rsid w:val="000E42E8"/>
    <w:rsid w:val="000E5201"/>
    <w:rsid w:val="000E5AE8"/>
    <w:rsid w:val="000E5F59"/>
    <w:rsid w:val="000E6F23"/>
    <w:rsid w:val="000E7982"/>
    <w:rsid w:val="000F1466"/>
    <w:rsid w:val="000F1EFE"/>
    <w:rsid w:val="000F2DAA"/>
    <w:rsid w:val="000F35D9"/>
    <w:rsid w:val="000F374A"/>
    <w:rsid w:val="000F3891"/>
    <w:rsid w:val="000F4009"/>
    <w:rsid w:val="000F4A21"/>
    <w:rsid w:val="000F6101"/>
    <w:rsid w:val="000F6C99"/>
    <w:rsid w:val="000F6D6D"/>
    <w:rsid w:val="000F7997"/>
    <w:rsid w:val="000F79B5"/>
    <w:rsid w:val="00100AA7"/>
    <w:rsid w:val="00102961"/>
    <w:rsid w:val="001032E3"/>
    <w:rsid w:val="00103465"/>
    <w:rsid w:val="00103679"/>
    <w:rsid w:val="00103A4F"/>
    <w:rsid w:val="00105EFE"/>
    <w:rsid w:val="001060E4"/>
    <w:rsid w:val="001063F4"/>
    <w:rsid w:val="00110EDA"/>
    <w:rsid w:val="00111100"/>
    <w:rsid w:val="00112007"/>
    <w:rsid w:val="001121AA"/>
    <w:rsid w:val="00112306"/>
    <w:rsid w:val="001130F6"/>
    <w:rsid w:val="00113E9D"/>
    <w:rsid w:val="0011404C"/>
    <w:rsid w:val="00114421"/>
    <w:rsid w:val="0011450D"/>
    <w:rsid w:val="00117D6A"/>
    <w:rsid w:val="001201D9"/>
    <w:rsid w:val="001207AF"/>
    <w:rsid w:val="00121872"/>
    <w:rsid w:val="0012286F"/>
    <w:rsid w:val="00123B50"/>
    <w:rsid w:val="00124380"/>
    <w:rsid w:val="00125C2B"/>
    <w:rsid w:val="00126573"/>
    <w:rsid w:val="001268D2"/>
    <w:rsid w:val="00127019"/>
    <w:rsid w:val="00127031"/>
    <w:rsid w:val="0012787E"/>
    <w:rsid w:val="00130457"/>
    <w:rsid w:val="00130494"/>
    <w:rsid w:val="00130536"/>
    <w:rsid w:val="0013094E"/>
    <w:rsid w:val="00130BF7"/>
    <w:rsid w:val="00131BD6"/>
    <w:rsid w:val="0013210F"/>
    <w:rsid w:val="00132292"/>
    <w:rsid w:val="001322A3"/>
    <w:rsid w:val="00134668"/>
    <w:rsid w:val="00135E00"/>
    <w:rsid w:val="00135E87"/>
    <w:rsid w:val="0013621F"/>
    <w:rsid w:val="0013677A"/>
    <w:rsid w:val="001371A9"/>
    <w:rsid w:val="001376E1"/>
    <w:rsid w:val="00137AD5"/>
    <w:rsid w:val="00137CD5"/>
    <w:rsid w:val="00137DBF"/>
    <w:rsid w:val="00141E05"/>
    <w:rsid w:val="00142EFE"/>
    <w:rsid w:val="001437CF"/>
    <w:rsid w:val="00143F1C"/>
    <w:rsid w:val="001443FC"/>
    <w:rsid w:val="00144DA7"/>
    <w:rsid w:val="0014519A"/>
    <w:rsid w:val="001457F4"/>
    <w:rsid w:val="001463E9"/>
    <w:rsid w:val="00147284"/>
    <w:rsid w:val="00150251"/>
    <w:rsid w:val="001502D3"/>
    <w:rsid w:val="001511A7"/>
    <w:rsid w:val="001516A0"/>
    <w:rsid w:val="00151E55"/>
    <w:rsid w:val="00152C65"/>
    <w:rsid w:val="001530E2"/>
    <w:rsid w:val="001531FE"/>
    <w:rsid w:val="00154300"/>
    <w:rsid w:val="00154823"/>
    <w:rsid w:val="00154A30"/>
    <w:rsid w:val="00156E25"/>
    <w:rsid w:val="0016158D"/>
    <w:rsid w:val="00161B88"/>
    <w:rsid w:val="00162322"/>
    <w:rsid w:val="001627EF"/>
    <w:rsid w:val="001628AC"/>
    <w:rsid w:val="001629EB"/>
    <w:rsid w:val="001633BC"/>
    <w:rsid w:val="001665E9"/>
    <w:rsid w:val="001701AA"/>
    <w:rsid w:val="00170273"/>
    <w:rsid w:val="00170A75"/>
    <w:rsid w:val="00170DC1"/>
    <w:rsid w:val="001729AC"/>
    <w:rsid w:val="00173250"/>
    <w:rsid w:val="00173A7A"/>
    <w:rsid w:val="00173C9A"/>
    <w:rsid w:val="0017482B"/>
    <w:rsid w:val="0017625D"/>
    <w:rsid w:val="00176593"/>
    <w:rsid w:val="001775AE"/>
    <w:rsid w:val="00180244"/>
    <w:rsid w:val="00180EFD"/>
    <w:rsid w:val="0018133B"/>
    <w:rsid w:val="0018149D"/>
    <w:rsid w:val="00181854"/>
    <w:rsid w:val="00181D8B"/>
    <w:rsid w:val="00183036"/>
    <w:rsid w:val="001836FB"/>
    <w:rsid w:val="0018395A"/>
    <w:rsid w:val="00184333"/>
    <w:rsid w:val="00184556"/>
    <w:rsid w:val="001858B3"/>
    <w:rsid w:val="00185A7F"/>
    <w:rsid w:val="001864A3"/>
    <w:rsid w:val="001873F4"/>
    <w:rsid w:val="00187C74"/>
    <w:rsid w:val="00187F15"/>
    <w:rsid w:val="0019078E"/>
    <w:rsid w:val="00190C06"/>
    <w:rsid w:val="00191C6B"/>
    <w:rsid w:val="00193855"/>
    <w:rsid w:val="001946CC"/>
    <w:rsid w:val="001A169C"/>
    <w:rsid w:val="001A23E3"/>
    <w:rsid w:val="001A2695"/>
    <w:rsid w:val="001A2F6E"/>
    <w:rsid w:val="001A305A"/>
    <w:rsid w:val="001A30F9"/>
    <w:rsid w:val="001A3AEE"/>
    <w:rsid w:val="001A4944"/>
    <w:rsid w:val="001A4EF9"/>
    <w:rsid w:val="001A5AEB"/>
    <w:rsid w:val="001A5C71"/>
    <w:rsid w:val="001A71F6"/>
    <w:rsid w:val="001A7210"/>
    <w:rsid w:val="001B0635"/>
    <w:rsid w:val="001B08E4"/>
    <w:rsid w:val="001B13CF"/>
    <w:rsid w:val="001B2172"/>
    <w:rsid w:val="001B4359"/>
    <w:rsid w:val="001B6471"/>
    <w:rsid w:val="001B6544"/>
    <w:rsid w:val="001B707F"/>
    <w:rsid w:val="001B7A30"/>
    <w:rsid w:val="001C02D9"/>
    <w:rsid w:val="001C0AD2"/>
    <w:rsid w:val="001C0B5E"/>
    <w:rsid w:val="001C0CFB"/>
    <w:rsid w:val="001C0FDB"/>
    <w:rsid w:val="001C1660"/>
    <w:rsid w:val="001C180F"/>
    <w:rsid w:val="001C2F21"/>
    <w:rsid w:val="001C323B"/>
    <w:rsid w:val="001C43D1"/>
    <w:rsid w:val="001C5336"/>
    <w:rsid w:val="001C5415"/>
    <w:rsid w:val="001C59A9"/>
    <w:rsid w:val="001C6CCD"/>
    <w:rsid w:val="001C78E3"/>
    <w:rsid w:val="001C7C28"/>
    <w:rsid w:val="001D01FD"/>
    <w:rsid w:val="001D1509"/>
    <w:rsid w:val="001D1AAC"/>
    <w:rsid w:val="001D2F8B"/>
    <w:rsid w:val="001D3C03"/>
    <w:rsid w:val="001D48A9"/>
    <w:rsid w:val="001D555E"/>
    <w:rsid w:val="001D7CF1"/>
    <w:rsid w:val="001E0204"/>
    <w:rsid w:val="001E1925"/>
    <w:rsid w:val="001E242C"/>
    <w:rsid w:val="001E2BB3"/>
    <w:rsid w:val="001E5931"/>
    <w:rsid w:val="001E5AF2"/>
    <w:rsid w:val="001E661F"/>
    <w:rsid w:val="001E693E"/>
    <w:rsid w:val="001E7355"/>
    <w:rsid w:val="001F18C5"/>
    <w:rsid w:val="001F1C21"/>
    <w:rsid w:val="001F1F19"/>
    <w:rsid w:val="001F2F97"/>
    <w:rsid w:val="001F39A0"/>
    <w:rsid w:val="001F3CE7"/>
    <w:rsid w:val="001F6581"/>
    <w:rsid w:val="001F6D48"/>
    <w:rsid w:val="001F7A3A"/>
    <w:rsid w:val="001F7D54"/>
    <w:rsid w:val="0020023F"/>
    <w:rsid w:val="002025DD"/>
    <w:rsid w:val="002033CE"/>
    <w:rsid w:val="00203BC1"/>
    <w:rsid w:val="00203CC9"/>
    <w:rsid w:val="00207311"/>
    <w:rsid w:val="00207342"/>
    <w:rsid w:val="002076F6"/>
    <w:rsid w:val="00207B79"/>
    <w:rsid w:val="00207DC5"/>
    <w:rsid w:val="00210582"/>
    <w:rsid w:val="002126C9"/>
    <w:rsid w:val="00212811"/>
    <w:rsid w:val="002144EF"/>
    <w:rsid w:val="002147F5"/>
    <w:rsid w:val="0021539D"/>
    <w:rsid w:val="002155C6"/>
    <w:rsid w:val="00215DDB"/>
    <w:rsid w:val="00215F1E"/>
    <w:rsid w:val="00217C2B"/>
    <w:rsid w:val="002203F7"/>
    <w:rsid w:val="00220C4D"/>
    <w:rsid w:val="002214C8"/>
    <w:rsid w:val="0022177C"/>
    <w:rsid w:val="002226B6"/>
    <w:rsid w:val="002228C1"/>
    <w:rsid w:val="00222CAA"/>
    <w:rsid w:val="00224CBE"/>
    <w:rsid w:val="00224E96"/>
    <w:rsid w:val="00225A1F"/>
    <w:rsid w:val="00225FCC"/>
    <w:rsid w:val="002263B6"/>
    <w:rsid w:val="002263D5"/>
    <w:rsid w:val="002265D5"/>
    <w:rsid w:val="0022676F"/>
    <w:rsid w:val="00226B92"/>
    <w:rsid w:val="002307D4"/>
    <w:rsid w:val="002308F3"/>
    <w:rsid w:val="0023090E"/>
    <w:rsid w:val="002319AD"/>
    <w:rsid w:val="00232AB7"/>
    <w:rsid w:val="0023307E"/>
    <w:rsid w:val="00233693"/>
    <w:rsid w:val="002339A7"/>
    <w:rsid w:val="00235B5D"/>
    <w:rsid w:val="00235F1D"/>
    <w:rsid w:val="0023618E"/>
    <w:rsid w:val="00237A83"/>
    <w:rsid w:val="00237E2C"/>
    <w:rsid w:val="00240016"/>
    <w:rsid w:val="002407CF"/>
    <w:rsid w:val="002438DA"/>
    <w:rsid w:val="00243BD8"/>
    <w:rsid w:val="002460BA"/>
    <w:rsid w:val="00247BF7"/>
    <w:rsid w:val="002502D6"/>
    <w:rsid w:val="00250DE3"/>
    <w:rsid w:val="002514C1"/>
    <w:rsid w:val="00251EBF"/>
    <w:rsid w:val="0025212E"/>
    <w:rsid w:val="0025583A"/>
    <w:rsid w:val="002564B1"/>
    <w:rsid w:val="00256571"/>
    <w:rsid w:val="0025715B"/>
    <w:rsid w:val="002574B7"/>
    <w:rsid w:val="00257E0B"/>
    <w:rsid w:val="00257E2A"/>
    <w:rsid w:val="00260FB9"/>
    <w:rsid w:val="00262441"/>
    <w:rsid w:val="00262AD3"/>
    <w:rsid w:val="00262BEA"/>
    <w:rsid w:val="002634A5"/>
    <w:rsid w:val="00264071"/>
    <w:rsid w:val="00264CA5"/>
    <w:rsid w:val="00265D41"/>
    <w:rsid w:val="00265FAE"/>
    <w:rsid w:val="002716D5"/>
    <w:rsid w:val="00272548"/>
    <w:rsid w:val="002741B6"/>
    <w:rsid w:val="00274BAA"/>
    <w:rsid w:val="00276453"/>
    <w:rsid w:val="0027677E"/>
    <w:rsid w:val="00277373"/>
    <w:rsid w:val="0027774E"/>
    <w:rsid w:val="00280EE7"/>
    <w:rsid w:val="00281C5B"/>
    <w:rsid w:val="00282648"/>
    <w:rsid w:val="0028300E"/>
    <w:rsid w:val="00284244"/>
    <w:rsid w:val="00284457"/>
    <w:rsid w:val="002848BE"/>
    <w:rsid w:val="00284D11"/>
    <w:rsid w:val="00284F06"/>
    <w:rsid w:val="00285905"/>
    <w:rsid w:val="00285ABC"/>
    <w:rsid w:val="00285D3B"/>
    <w:rsid w:val="0029017D"/>
    <w:rsid w:val="00290599"/>
    <w:rsid w:val="00291ACB"/>
    <w:rsid w:val="002930CD"/>
    <w:rsid w:val="002944E6"/>
    <w:rsid w:val="002957C6"/>
    <w:rsid w:val="00296825"/>
    <w:rsid w:val="00296A93"/>
    <w:rsid w:val="00296B32"/>
    <w:rsid w:val="002A0657"/>
    <w:rsid w:val="002A096E"/>
    <w:rsid w:val="002A0B5A"/>
    <w:rsid w:val="002A1226"/>
    <w:rsid w:val="002A20AB"/>
    <w:rsid w:val="002A3375"/>
    <w:rsid w:val="002A48BB"/>
    <w:rsid w:val="002A4E35"/>
    <w:rsid w:val="002A4F8B"/>
    <w:rsid w:val="002A5088"/>
    <w:rsid w:val="002A5A17"/>
    <w:rsid w:val="002A5B36"/>
    <w:rsid w:val="002A5B7C"/>
    <w:rsid w:val="002A5CA4"/>
    <w:rsid w:val="002A71E8"/>
    <w:rsid w:val="002A7B26"/>
    <w:rsid w:val="002A7C2A"/>
    <w:rsid w:val="002B18DA"/>
    <w:rsid w:val="002B2C65"/>
    <w:rsid w:val="002B2E7E"/>
    <w:rsid w:val="002B3790"/>
    <w:rsid w:val="002B381B"/>
    <w:rsid w:val="002B3A2E"/>
    <w:rsid w:val="002B4A1E"/>
    <w:rsid w:val="002B4E83"/>
    <w:rsid w:val="002B77F8"/>
    <w:rsid w:val="002B78FC"/>
    <w:rsid w:val="002C0A76"/>
    <w:rsid w:val="002C0DDF"/>
    <w:rsid w:val="002C17A9"/>
    <w:rsid w:val="002C24E9"/>
    <w:rsid w:val="002C2DE0"/>
    <w:rsid w:val="002C3DE2"/>
    <w:rsid w:val="002C42CC"/>
    <w:rsid w:val="002C4618"/>
    <w:rsid w:val="002C4FEA"/>
    <w:rsid w:val="002C5D6B"/>
    <w:rsid w:val="002C6BD5"/>
    <w:rsid w:val="002C7740"/>
    <w:rsid w:val="002D0484"/>
    <w:rsid w:val="002D135F"/>
    <w:rsid w:val="002D3390"/>
    <w:rsid w:val="002D34E5"/>
    <w:rsid w:val="002D3AEE"/>
    <w:rsid w:val="002D41FD"/>
    <w:rsid w:val="002D443C"/>
    <w:rsid w:val="002D4F99"/>
    <w:rsid w:val="002D5041"/>
    <w:rsid w:val="002D6793"/>
    <w:rsid w:val="002D68E1"/>
    <w:rsid w:val="002D6B4F"/>
    <w:rsid w:val="002D7AB8"/>
    <w:rsid w:val="002D7EDA"/>
    <w:rsid w:val="002E069C"/>
    <w:rsid w:val="002E11D9"/>
    <w:rsid w:val="002E11E8"/>
    <w:rsid w:val="002E2203"/>
    <w:rsid w:val="002E2C4E"/>
    <w:rsid w:val="002E2E73"/>
    <w:rsid w:val="002E3D6F"/>
    <w:rsid w:val="002E3F4B"/>
    <w:rsid w:val="002E410F"/>
    <w:rsid w:val="002E53E7"/>
    <w:rsid w:val="002E702F"/>
    <w:rsid w:val="002E7794"/>
    <w:rsid w:val="002F03AF"/>
    <w:rsid w:val="002F1463"/>
    <w:rsid w:val="002F23FA"/>
    <w:rsid w:val="002F3F71"/>
    <w:rsid w:val="002F4B36"/>
    <w:rsid w:val="002F5839"/>
    <w:rsid w:val="002F7B07"/>
    <w:rsid w:val="00300963"/>
    <w:rsid w:val="00301D40"/>
    <w:rsid w:val="003037ED"/>
    <w:rsid w:val="003058B9"/>
    <w:rsid w:val="00305AE3"/>
    <w:rsid w:val="00305D78"/>
    <w:rsid w:val="003077C7"/>
    <w:rsid w:val="003077E9"/>
    <w:rsid w:val="00312305"/>
    <w:rsid w:val="003124E0"/>
    <w:rsid w:val="00314254"/>
    <w:rsid w:val="003147DC"/>
    <w:rsid w:val="0031489B"/>
    <w:rsid w:val="00314D9D"/>
    <w:rsid w:val="00315215"/>
    <w:rsid w:val="003155BB"/>
    <w:rsid w:val="003157DF"/>
    <w:rsid w:val="00320B3F"/>
    <w:rsid w:val="00321BD7"/>
    <w:rsid w:val="003229D8"/>
    <w:rsid w:val="00322F4D"/>
    <w:rsid w:val="003235F8"/>
    <w:rsid w:val="00323A13"/>
    <w:rsid w:val="00323E81"/>
    <w:rsid w:val="00323F54"/>
    <w:rsid w:val="00324767"/>
    <w:rsid w:val="003267BB"/>
    <w:rsid w:val="003278D4"/>
    <w:rsid w:val="00330DC9"/>
    <w:rsid w:val="0033156C"/>
    <w:rsid w:val="00331D13"/>
    <w:rsid w:val="0033259A"/>
    <w:rsid w:val="00333EA4"/>
    <w:rsid w:val="003368C8"/>
    <w:rsid w:val="00337A33"/>
    <w:rsid w:val="00340102"/>
    <w:rsid w:val="0034098E"/>
    <w:rsid w:val="00340FCA"/>
    <w:rsid w:val="00341EF0"/>
    <w:rsid w:val="00345C92"/>
    <w:rsid w:val="003500F1"/>
    <w:rsid w:val="00351D1B"/>
    <w:rsid w:val="0035256B"/>
    <w:rsid w:val="00352591"/>
    <w:rsid w:val="00352D9C"/>
    <w:rsid w:val="00352DF7"/>
    <w:rsid w:val="00354107"/>
    <w:rsid w:val="0035415D"/>
    <w:rsid w:val="0035558A"/>
    <w:rsid w:val="00356C0B"/>
    <w:rsid w:val="003617C3"/>
    <w:rsid w:val="00362757"/>
    <w:rsid w:val="00363A07"/>
    <w:rsid w:val="0036590A"/>
    <w:rsid w:val="00366ADE"/>
    <w:rsid w:val="00367209"/>
    <w:rsid w:val="003677B7"/>
    <w:rsid w:val="00367AB8"/>
    <w:rsid w:val="0037088E"/>
    <w:rsid w:val="00370E74"/>
    <w:rsid w:val="00371972"/>
    <w:rsid w:val="00371A58"/>
    <w:rsid w:val="0037375D"/>
    <w:rsid w:val="003743CD"/>
    <w:rsid w:val="0037466C"/>
    <w:rsid w:val="00376109"/>
    <w:rsid w:val="00376C16"/>
    <w:rsid w:val="00380483"/>
    <w:rsid w:val="003812A0"/>
    <w:rsid w:val="00381313"/>
    <w:rsid w:val="0038279D"/>
    <w:rsid w:val="00382A47"/>
    <w:rsid w:val="003831B6"/>
    <w:rsid w:val="00384F97"/>
    <w:rsid w:val="003857E1"/>
    <w:rsid w:val="00385881"/>
    <w:rsid w:val="00385E73"/>
    <w:rsid w:val="003907F5"/>
    <w:rsid w:val="00390FBB"/>
    <w:rsid w:val="00391B0E"/>
    <w:rsid w:val="00391EE8"/>
    <w:rsid w:val="0039292C"/>
    <w:rsid w:val="00393565"/>
    <w:rsid w:val="00393985"/>
    <w:rsid w:val="003939EC"/>
    <w:rsid w:val="00394474"/>
    <w:rsid w:val="00394F5C"/>
    <w:rsid w:val="003A017F"/>
    <w:rsid w:val="003A0629"/>
    <w:rsid w:val="003A0784"/>
    <w:rsid w:val="003A080E"/>
    <w:rsid w:val="003A166A"/>
    <w:rsid w:val="003A1BC1"/>
    <w:rsid w:val="003A1DC4"/>
    <w:rsid w:val="003A3A12"/>
    <w:rsid w:val="003A44F3"/>
    <w:rsid w:val="003A4654"/>
    <w:rsid w:val="003A4776"/>
    <w:rsid w:val="003A5311"/>
    <w:rsid w:val="003A5C2D"/>
    <w:rsid w:val="003A66E6"/>
    <w:rsid w:val="003A78BC"/>
    <w:rsid w:val="003B126A"/>
    <w:rsid w:val="003B1446"/>
    <w:rsid w:val="003B166B"/>
    <w:rsid w:val="003B2F48"/>
    <w:rsid w:val="003B392A"/>
    <w:rsid w:val="003B3A15"/>
    <w:rsid w:val="003B4209"/>
    <w:rsid w:val="003B4F94"/>
    <w:rsid w:val="003B5248"/>
    <w:rsid w:val="003B554E"/>
    <w:rsid w:val="003B5BF1"/>
    <w:rsid w:val="003B6CD2"/>
    <w:rsid w:val="003B711D"/>
    <w:rsid w:val="003B7BF7"/>
    <w:rsid w:val="003B7FAB"/>
    <w:rsid w:val="003C0068"/>
    <w:rsid w:val="003C129D"/>
    <w:rsid w:val="003C1841"/>
    <w:rsid w:val="003C221F"/>
    <w:rsid w:val="003C226A"/>
    <w:rsid w:val="003C22C3"/>
    <w:rsid w:val="003C2718"/>
    <w:rsid w:val="003C3277"/>
    <w:rsid w:val="003C3B59"/>
    <w:rsid w:val="003C3FBC"/>
    <w:rsid w:val="003C414E"/>
    <w:rsid w:val="003C4A6F"/>
    <w:rsid w:val="003C62DE"/>
    <w:rsid w:val="003C6534"/>
    <w:rsid w:val="003C7120"/>
    <w:rsid w:val="003D0275"/>
    <w:rsid w:val="003D0A7B"/>
    <w:rsid w:val="003D0D65"/>
    <w:rsid w:val="003D1E95"/>
    <w:rsid w:val="003D2F4F"/>
    <w:rsid w:val="003D46E0"/>
    <w:rsid w:val="003D4A1F"/>
    <w:rsid w:val="003D4D3E"/>
    <w:rsid w:val="003D5D6F"/>
    <w:rsid w:val="003D5FF3"/>
    <w:rsid w:val="003D6754"/>
    <w:rsid w:val="003D721F"/>
    <w:rsid w:val="003D7931"/>
    <w:rsid w:val="003E0460"/>
    <w:rsid w:val="003E0556"/>
    <w:rsid w:val="003E0655"/>
    <w:rsid w:val="003E2401"/>
    <w:rsid w:val="003E39AA"/>
    <w:rsid w:val="003E4553"/>
    <w:rsid w:val="003E5BBC"/>
    <w:rsid w:val="003E703F"/>
    <w:rsid w:val="003F093A"/>
    <w:rsid w:val="003F0D60"/>
    <w:rsid w:val="003F1542"/>
    <w:rsid w:val="003F154D"/>
    <w:rsid w:val="003F1660"/>
    <w:rsid w:val="003F2367"/>
    <w:rsid w:val="003F2477"/>
    <w:rsid w:val="003F5DFD"/>
    <w:rsid w:val="003F6884"/>
    <w:rsid w:val="00401215"/>
    <w:rsid w:val="004023A1"/>
    <w:rsid w:val="00403D48"/>
    <w:rsid w:val="004045FF"/>
    <w:rsid w:val="00404C07"/>
    <w:rsid w:val="0040514A"/>
    <w:rsid w:val="0040621B"/>
    <w:rsid w:val="00406937"/>
    <w:rsid w:val="00406AF7"/>
    <w:rsid w:val="00406B1D"/>
    <w:rsid w:val="00407477"/>
    <w:rsid w:val="004075A6"/>
    <w:rsid w:val="0040790E"/>
    <w:rsid w:val="0041132C"/>
    <w:rsid w:val="004120E4"/>
    <w:rsid w:val="00412AB0"/>
    <w:rsid w:val="00412EB8"/>
    <w:rsid w:val="00414034"/>
    <w:rsid w:val="004142F6"/>
    <w:rsid w:val="004144A7"/>
    <w:rsid w:val="0041450E"/>
    <w:rsid w:val="00416396"/>
    <w:rsid w:val="0042092E"/>
    <w:rsid w:val="00420EA4"/>
    <w:rsid w:val="00421203"/>
    <w:rsid w:val="00421470"/>
    <w:rsid w:val="00421DC7"/>
    <w:rsid w:val="00422E3A"/>
    <w:rsid w:val="00423C8F"/>
    <w:rsid w:val="00424517"/>
    <w:rsid w:val="00424B81"/>
    <w:rsid w:val="0042639B"/>
    <w:rsid w:val="00426492"/>
    <w:rsid w:val="00426ABC"/>
    <w:rsid w:val="00426D8C"/>
    <w:rsid w:val="00426DFF"/>
    <w:rsid w:val="00427152"/>
    <w:rsid w:val="00427ED6"/>
    <w:rsid w:val="00430D09"/>
    <w:rsid w:val="004317EB"/>
    <w:rsid w:val="00431DE3"/>
    <w:rsid w:val="004321F7"/>
    <w:rsid w:val="00432620"/>
    <w:rsid w:val="00432623"/>
    <w:rsid w:val="004327ED"/>
    <w:rsid w:val="0043392E"/>
    <w:rsid w:val="00433FA8"/>
    <w:rsid w:val="00436649"/>
    <w:rsid w:val="00436765"/>
    <w:rsid w:val="004368A6"/>
    <w:rsid w:val="00436F97"/>
    <w:rsid w:val="004370D9"/>
    <w:rsid w:val="004372F6"/>
    <w:rsid w:val="00440239"/>
    <w:rsid w:val="00441808"/>
    <w:rsid w:val="00444CCF"/>
    <w:rsid w:val="00444F7A"/>
    <w:rsid w:val="00445ABE"/>
    <w:rsid w:val="00445B4F"/>
    <w:rsid w:val="00446750"/>
    <w:rsid w:val="0044741E"/>
    <w:rsid w:val="00447972"/>
    <w:rsid w:val="004505E2"/>
    <w:rsid w:val="00450601"/>
    <w:rsid w:val="0045064A"/>
    <w:rsid w:val="00451BDD"/>
    <w:rsid w:val="004520C9"/>
    <w:rsid w:val="00453654"/>
    <w:rsid w:val="00453EAE"/>
    <w:rsid w:val="00454772"/>
    <w:rsid w:val="00455019"/>
    <w:rsid w:val="00455DAE"/>
    <w:rsid w:val="00456FB3"/>
    <w:rsid w:val="00457442"/>
    <w:rsid w:val="0045794C"/>
    <w:rsid w:val="0046020A"/>
    <w:rsid w:val="00460F1A"/>
    <w:rsid w:val="00461022"/>
    <w:rsid w:val="0046595C"/>
    <w:rsid w:val="00465D38"/>
    <w:rsid w:val="00465E46"/>
    <w:rsid w:val="0046665F"/>
    <w:rsid w:val="004671FE"/>
    <w:rsid w:val="00473A41"/>
    <w:rsid w:val="004765C9"/>
    <w:rsid w:val="004774F4"/>
    <w:rsid w:val="004809C5"/>
    <w:rsid w:val="004825C4"/>
    <w:rsid w:val="00482870"/>
    <w:rsid w:val="004830AC"/>
    <w:rsid w:val="00483BEE"/>
    <w:rsid w:val="00483E64"/>
    <w:rsid w:val="00484DB7"/>
    <w:rsid w:val="00486131"/>
    <w:rsid w:val="0048704B"/>
    <w:rsid w:val="004873C0"/>
    <w:rsid w:val="004916B6"/>
    <w:rsid w:val="00491A62"/>
    <w:rsid w:val="00491AFE"/>
    <w:rsid w:val="00491D28"/>
    <w:rsid w:val="004925CA"/>
    <w:rsid w:val="004926CA"/>
    <w:rsid w:val="00492CE9"/>
    <w:rsid w:val="0049420F"/>
    <w:rsid w:val="00494D45"/>
    <w:rsid w:val="00495911"/>
    <w:rsid w:val="0049699D"/>
    <w:rsid w:val="00497342"/>
    <w:rsid w:val="004973F5"/>
    <w:rsid w:val="004974E6"/>
    <w:rsid w:val="004A12F8"/>
    <w:rsid w:val="004A3256"/>
    <w:rsid w:val="004A5A7A"/>
    <w:rsid w:val="004A66D0"/>
    <w:rsid w:val="004A79F4"/>
    <w:rsid w:val="004B02E7"/>
    <w:rsid w:val="004B0B0D"/>
    <w:rsid w:val="004B15E6"/>
    <w:rsid w:val="004B20DA"/>
    <w:rsid w:val="004B21DD"/>
    <w:rsid w:val="004B2836"/>
    <w:rsid w:val="004B2F32"/>
    <w:rsid w:val="004B325C"/>
    <w:rsid w:val="004B3F94"/>
    <w:rsid w:val="004B3FDD"/>
    <w:rsid w:val="004B72A6"/>
    <w:rsid w:val="004B7EDE"/>
    <w:rsid w:val="004C0073"/>
    <w:rsid w:val="004C1154"/>
    <w:rsid w:val="004C3398"/>
    <w:rsid w:val="004C403B"/>
    <w:rsid w:val="004C60A0"/>
    <w:rsid w:val="004C6CEF"/>
    <w:rsid w:val="004C7345"/>
    <w:rsid w:val="004D073C"/>
    <w:rsid w:val="004D0846"/>
    <w:rsid w:val="004D1533"/>
    <w:rsid w:val="004D1957"/>
    <w:rsid w:val="004D1A0B"/>
    <w:rsid w:val="004D1FE0"/>
    <w:rsid w:val="004D2680"/>
    <w:rsid w:val="004D2DCA"/>
    <w:rsid w:val="004D6DF2"/>
    <w:rsid w:val="004D73F0"/>
    <w:rsid w:val="004D7908"/>
    <w:rsid w:val="004E0D47"/>
    <w:rsid w:val="004E290E"/>
    <w:rsid w:val="004E3E30"/>
    <w:rsid w:val="004E3E7A"/>
    <w:rsid w:val="004E4709"/>
    <w:rsid w:val="004E4D45"/>
    <w:rsid w:val="004E641A"/>
    <w:rsid w:val="004E6BCE"/>
    <w:rsid w:val="004E6C42"/>
    <w:rsid w:val="004E7722"/>
    <w:rsid w:val="004E7AF0"/>
    <w:rsid w:val="004F0B61"/>
    <w:rsid w:val="004F0F62"/>
    <w:rsid w:val="004F12BB"/>
    <w:rsid w:val="004F14C2"/>
    <w:rsid w:val="004F1AB8"/>
    <w:rsid w:val="004F2274"/>
    <w:rsid w:val="004F3FF1"/>
    <w:rsid w:val="004F421A"/>
    <w:rsid w:val="004F4AAA"/>
    <w:rsid w:val="004F5850"/>
    <w:rsid w:val="004F5E2A"/>
    <w:rsid w:val="004F64E7"/>
    <w:rsid w:val="004F71C1"/>
    <w:rsid w:val="00500288"/>
    <w:rsid w:val="005013B6"/>
    <w:rsid w:val="0050218B"/>
    <w:rsid w:val="00502C8F"/>
    <w:rsid w:val="00503048"/>
    <w:rsid w:val="0050334B"/>
    <w:rsid w:val="00503F2A"/>
    <w:rsid w:val="0050465F"/>
    <w:rsid w:val="005056CA"/>
    <w:rsid w:val="00507CCC"/>
    <w:rsid w:val="005100BF"/>
    <w:rsid w:val="00510A0E"/>
    <w:rsid w:val="005113D3"/>
    <w:rsid w:val="00511509"/>
    <w:rsid w:val="00511CE1"/>
    <w:rsid w:val="00512689"/>
    <w:rsid w:val="00513768"/>
    <w:rsid w:val="0051393F"/>
    <w:rsid w:val="00513EC3"/>
    <w:rsid w:val="005171D7"/>
    <w:rsid w:val="00517226"/>
    <w:rsid w:val="005172A8"/>
    <w:rsid w:val="00517FD4"/>
    <w:rsid w:val="00520442"/>
    <w:rsid w:val="00522E0E"/>
    <w:rsid w:val="005234D1"/>
    <w:rsid w:val="005240FB"/>
    <w:rsid w:val="00524839"/>
    <w:rsid w:val="00526DE7"/>
    <w:rsid w:val="00526E92"/>
    <w:rsid w:val="00526EBC"/>
    <w:rsid w:val="0052776A"/>
    <w:rsid w:val="005300A2"/>
    <w:rsid w:val="00531523"/>
    <w:rsid w:val="00531885"/>
    <w:rsid w:val="005323A1"/>
    <w:rsid w:val="005325BD"/>
    <w:rsid w:val="00533359"/>
    <w:rsid w:val="00533547"/>
    <w:rsid w:val="0053456C"/>
    <w:rsid w:val="00534F59"/>
    <w:rsid w:val="005355C1"/>
    <w:rsid w:val="00535861"/>
    <w:rsid w:val="00535996"/>
    <w:rsid w:val="00536055"/>
    <w:rsid w:val="00536C64"/>
    <w:rsid w:val="0054039F"/>
    <w:rsid w:val="0054119E"/>
    <w:rsid w:val="0054128A"/>
    <w:rsid w:val="00542A9B"/>
    <w:rsid w:val="00543ED6"/>
    <w:rsid w:val="00543F85"/>
    <w:rsid w:val="0054416F"/>
    <w:rsid w:val="00544D42"/>
    <w:rsid w:val="0054514E"/>
    <w:rsid w:val="00545D1D"/>
    <w:rsid w:val="00545F38"/>
    <w:rsid w:val="005472C8"/>
    <w:rsid w:val="00550A35"/>
    <w:rsid w:val="005515E6"/>
    <w:rsid w:val="005519F7"/>
    <w:rsid w:val="00551F54"/>
    <w:rsid w:val="0055307D"/>
    <w:rsid w:val="00553581"/>
    <w:rsid w:val="00553D85"/>
    <w:rsid w:val="00554A6A"/>
    <w:rsid w:val="005555E8"/>
    <w:rsid w:val="005569BB"/>
    <w:rsid w:val="00556C91"/>
    <w:rsid w:val="005574D1"/>
    <w:rsid w:val="005578D9"/>
    <w:rsid w:val="00557A7F"/>
    <w:rsid w:val="00557E0E"/>
    <w:rsid w:val="005608F6"/>
    <w:rsid w:val="005617BA"/>
    <w:rsid w:val="00561B8E"/>
    <w:rsid w:val="00561EB6"/>
    <w:rsid w:val="00561F72"/>
    <w:rsid w:val="00562D44"/>
    <w:rsid w:val="0056511D"/>
    <w:rsid w:val="0056565B"/>
    <w:rsid w:val="00566906"/>
    <w:rsid w:val="005671E7"/>
    <w:rsid w:val="00570096"/>
    <w:rsid w:val="0057119E"/>
    <w:rsid w:val="0057181F"/>
    <w:rsid w:val="0057209D"/>
    <w:rsid w:val="0057317F"/>
    <w:rsid w:val="005734AC"/>
    <w:rsid w:val="00573CF5"/>
    <w:rsid w:val="00575073"/>
    <w:rsid w:val="00576A47"/>
    <w:rsid w:val="00577561"/>
    <w:rsid w:val="00577867"/>
    <w:rsid w:val="005809A6"/>
    <w:rsid w:val="00580B00"/>
    <w:rsid w:val="00581094"/>
    <w:rsid w:val="00581225"/>
    <w:rsid w:val="005814B6"/>
    <w:rsid w:val="005816F7"/>
    <w:rsid w:val="005818E2"/>
    <w:rsid w:val="00581F5B"/>
    <w:rsid w:val="005831E5"/>
    <w:rsid w:val="005841E9"/>
    <w:rsid w:val="00584802"/>
    <w:rsid w:val="005853E9"/>
    <w:rsid w:val="00585B5E"/>
    <w:rsid w:val="00585BF6"/>
    <w:rsid w:val="0059162E"/>
    <w:rsid w:val="005916B5"/>
    <w:rsid w:val="00591C37"/>
    <w:rsid w:val="00591DC4"/>
    <w:rsid w:val="00593365"/>
    <w:rsid w:val="00593809"/>
    <w:rsid w:val="00594306"/>
    <w:rsid w:val="005945D3"/>
    <w:rsid w:val="00595038"/>
    <w:rsid w:val="00595628"/>
    <w:rsid w:val="00595AFB"/>
    <w:rsid w:val="0059675C"/>
    <w:rsid w:val="00596D3C"/>
    <w:rsid w:val="00596E2C"/>
    <w:rsid w:val="0059731B"/>
    <w:rsid w:val="005A0545"/>
    <w:rsid w:val="005A1054"/>
    <w:rsid w:val="005A2C97"/>
    <w:rsid w:val="005A3685"/>
    <w:rsid w:val="005A398F"/>
    <w:rsid w:val="005A3B06"/>
    <w:rsid w:val="005A3D76"/>
    <w:rsid w:val="005A45DC"/>
    <w:rsid w:val="005A6A8B"/>
    <w:rsid w:val="005A7395"/>
    <w:rsid w:val="005B1EEC"/>
    <w:rsid w:val="005B4200"/>
    <w:rsid w:val="005B45E8"/>
    <w:rsid w:val="005B48C9"/>
    <w:rsid w:val="005B58F8"/>
    <w:rsid w:val="005B62F7"/>
    <w:rsid w:val="005B7233"/>
    <w:rsid w:val="005B7ABE"/>
    <w:rsid w:val="005B7E54"/>
    <w:rsid w:val="005C1A98"/>
    <w:rsid w:val="005C20E1"/>
    <w:rsid w:val="005C2710"/>
    <w:rsid w:val="005C36E8"/>
    <w:rsid w:val="005C4153"/>
    <w:rsid w:val="005C5085"/>
    <w:rsid w:val="005C6C7B"/>
    <w:rsid w:val="005C7AED"/>
    <w:rsid w:val="005D0025"/>
    <w:rsid w:val="005D00BE"/>
    <w:rsid w:val="005D034D"/>
    <w:rsid w:val="005D0706"/>
    <w:rsid w:val="005D07FF"/>
    <w:rsid w:val="005D0DE3"/>
    <w:rsid w:val="005D505A"/>
    <w:rsid w:val="005D5B23"/>
    <w:rsid w:val="005D6649"/>
    <w:rsid w:val="005D6896"/>
    <w:rsid w:val="005D6BEC"/>
    <w:rsid w:val="005E1E6D"/>
    <w:rsid w:val="005E2000"/>
    <w:rsid w:val="005E2C10"/>
    <w:rsid w:val="005E2F07"/>
    <w:rsid w:val="005E2F49"/>
    <w:rsid w:val="005E31FC"/>
    <w:rsid w:val="005E3427"/>
    <w:rsid w:val="005E3F90"/>
    <w:rsid w:val="005E41D8"/>
    <w:rsid w:val="005E4733"/>
    <w:rsid w:val="005E574B"/>
    <w:rsid w:val="005E57D2"/>
    <w:rsid w:val="005E60F8"/>
    <w:rsid w:val="005E624F"/>
    <w:rsid w:val="005E627D"/>
    <w:rsid w:val="005E633C"/>
    <w:rsid w:val="005E7307"/>
    <w:rsid w:val="005E7C88"/>
    <w:rsid w:val="005F1CB0"/>
    <w:rsid w:val="005F2C42"/>
    <w:rsid w:val="005F2E0C"/>
    <w:rsid w:val="005F3175"/>
    <w:rsid w:val="005F350E"/>
    <w:rsid w:val="005F5D92"/>
    <w:rsid w:val="006001FC"/>
    <w:rsid w:val="00600836"/>
    <w:rsid w:val="00600D7B"/>
    <w:rsid w:val="006016A3"/>
    <w:rsid w:val="006020E6"/>
    <w:rsid w:val="00602367"/>
    <w:rsid w:val="00602658"/>
    <w:rsid w:val="006035C9"/>
    <w:rsid w:val="0060448A"/>
    <w:rsid w:val="006059A8"/>
    <w:rsid w:val="006074DE"/>
    <w:rsid w:val="00607C35"/>
    <w:rsid w:val="0061040E"/>
    <w:rsid w:val="00610973"/>
    <w:rsid w:val="006110AF"/>
    <w:rsid w:val="006116AD"/>
    <w:rsid w:val="006139B6"/>
    <w:rsid w:val="006142BE"/>
    <w:rsid w:val="00614699"/>
    <w:rsid w:val="00614BEC"/>
    <w:rsid w:val="00614EE7"/>
    <w:rsid w:val="00615AE4"/>
    <w:rsid w:val="00615B46"/>
    <w:rsid w:val="00616A57"/>
    <w:rsid w:val="00617935"/>
    <w:rsid w:val="00620731"/>
    <w:rsid w:val="006214A0"/>
    <w:rsid w:val="00621799"/>
    <w:rsid w:val="0062182C"/>
    <w:rsid w:val="00622C49"/>
    <w:rsid w:val="0062338B"/>
    <w:rsid w:val="006237E3"/>
    <w:rsid w:val="006245BC"/>
    <w:rsid w:val="0062670E"/>
    <w:rsid w:val="0062687D"/>
    <w:rsid w:val="0062729A"/>
    <w:rsid w:val="0062756A"/>
    <w:rsid w:val="006301AE"/>
    <w:rsid w:val="00630BFB"/>
    <w:rsid w:val="00630F2D"/>
    <w:rsid w:val="00632FA8"/>
    <w:rsid w:val="00633056"/>
    <w:rsid w:val="006333CC"/>
    <w:rsid w:val="00633589"/>
    <w:rsid w:val="0063408F"/>
    <w:rsid w:val="00634090"/>
    <w:rsid w:val="00634531"/>
    <w:rsid w:val="00634555"/>
    <w:rsid w:val="00634973"/>
    <w:rsid w:val="00640412"/>
    <w:rsid w:val="00640F7F"/>
    <w:rsid w:val="00641A09"/>
    <w:rsid w:val="0064226D"/>
    <w:rsid w:val="00642341"/>
    <w:rsid w:val="00644679"/>
    <w:rsid w:val="00644A39"/>
    <w:rsid w:val="00645512"/>
    <w:rsid w:val="00645F97"/>
    <w:rsid w:val="00646C13"/>
    <w:rsid w:val="00646DBF"/>
    <w:rsid w:val="00647453"/>
    <w:rsid w:val="00647B40"/>
    <w:rsid w:val="00650113"/>
    <w:rsid w:val="00650614"/>
    <w:rsid w:val="006511BC"/>
    <w:rsid w:val="0065657A"/>
    <w:rsid w:val="006568F4"/>
    <w:rsid w:val="00660706"/>
    <w:rsid w:val="006625FB"/>
    <w:rsid w:val="006627B2"/>
    <w:rsid w:val="006643F5"/>
    <w:rsid w:val="0066514B"/>
    <w:rsid w:val="006671A0"/>
    <w:rsid w:val="0066728B"/>
    <w:rsid w:val="006701F4"/>
    <w:rsid w:val="00673CA7"/>
    <w:rsid w:val="0067449E"/>
    <w:rsid w:val="0067469B"/>
    <w:rsid w:val="006748E4"/>
    <w:rsid w:val="006750C0"/>
    <w:rsid w:val="006757BC"/>
    <w:rsid w:val="00675C19"/>
    <w:rsid w:val="00675F0B"/>
    <w:rsid w:val="006760CC"/>
    <w:rsid w:val="00676280"/>
    <w:rsid w:val="00676BB1"/>
    <w:rsid w:val="006803E9"/>
    <w:rsid w:val="00680BCE"/>
    <w:rsid w:val="006816A4"/>
    <w:rsid w:val="0068499A"/>
    <w:rsid w:val="00685E09"/>
    <w:rsid w:val="0068642F"/>
    <w:rsid w:val="00686D51"/>
    <w:rsid w:val="00690B72"/>
    <w:rsid w:val="0069182C"/>
    <w:rsid w:val="0069217C"/>
    <w:rsid w:val="006924B0"/>
    <w:rsid w:val="00692957"/>
    <w:rsid w:val="00692F04"/>
    <w:rsid w:val="00693F16"/>
    <w:rsid w:val="006947A9"/>
    <w:rsid w:val="00694CEA"/>
    <w:rsid w:val="00695084"/>
    <w:rsid w:val="00695B70"/>
    <w:rsid w:val="00696492"/>
    <w:rsid w:val="006971EC"/>
    <w:rsid w:val="00697482"/>
    <w:rsid w:val="00697629"/>
    <w:rsid w:val="00697BE4"/>
    <w:rsid w:val="006A0356"/>
    <w:rsid w:val="006A11A3"/>
    <w:rsid w:val="006A26F9"/>
    <w:rsid w:val="006A2E50"/>
    <w:rsid w:val="006A33F5"/>
    <w:rsid w:val="006A4DB4"/>
    <w:rsid w:val="006A69C2"/>
    <w:rsid w:val="006A730A"/>
    <w:rsid w:val="006B003C"/>
    <w:rsid w:val="006B0166"/>
    <w:rsid w:val="006B03B9"/>
    <w:rsid w:val="006B08CC"/>
    <w:rsid w:val="006B1A08"/>
    <w:rsid w:val="006B20BF"/>
    <w:rsid w:val="006B3CC1"/>
    <w:rsid w:val="006B54F2"/>
    <w:rsid w:val="006B73CA"/>
    <w:rsid w:val="006B750E"/>
    <w:rsid w:val="006B7523"/>
    <w:rsid w:val="006B77D7"/>
    <w:rsid w:val="006B795A"/>
    <w:rsid w:val="006B7D40"/>
    <w:rsid w:val="006C00ED"/>
    <w:rsid w:val="006C14C5"/>
    <w:rsid w:val="006C3C00"/>
    <w:rsid w:val="006C3E61"/>
    <w:rsid w:val="006C5A7C"/>
    <w:rsid w:val="006C62BB"/>
    <w:rsid w:val="006C6A99"/>
    <w:rsid w:val="006D019C"/>
    <w:rsid w:val="006D06CA"/>
    <w:rsid w:val="006D09AE"/>
    <w:rsid w:val="006D1731"/>
    <w:rsid w:val="006D1A5C"/>
    <w:rsid w:val="006D2107"/>
    <w:rsid w:val="006D258D"/>
    <w:rsid w:val="006D43D3"/>
    <w:rsid w:val="006D6BFA"/>
    <w:rsid w:val="006D7511"/>
    <w:rsid w:val="006D76B6"/>
    <w:rsid w:val="006D7778"/>
    <w:rsid w:val="006D7A44"/>
    <w:rsid w:val="006E0EFA"/>
    <w:rsid w:val="006E15AF"/>
    <w:rsid w:val="006E19C8"/>
    <w:rsid w:val="006E1B9E"/>
    <w:rsid w:val="006E36C3"/>
    <w:rsid w:val="006E3E12"/>
    <w:rsid w:val="006E48F3"/>
    <w:rsid w:val="006E4ACC"/>
    <w:rsid w:val="006E4E2A"/>
    <w:rsid w:val="006E5BAF"/>
    <w:rsid w:val="006E79DB"/>
    <w:rsid w:val="006F0450"/>
    <w:rsid w:val="006F09DA"/>
    <w:rsid w:val="006F0A9C"/>
    <w:rsid w:val="006F1048"/>
    <w:rsid w:val="006F1DA3"/>
    <w:rsid w:val="006F2C96"/>
    <w:rsid w:val="006F2E02"/>
    <w:rsid w:val="006F2EE6"/>
    <w:rsid w:val="006F33D4"/>
    <w:rsid w:val="006F43B6"/>
    <w:rsid w:val="006F43C1"/>
    <w:rsid w:val="006F48B8"/>
    <w:rsid w:val="006F4B5A"/>
    <w:rsid w:val="006F4C96"/>
    <w:rsid w:val="006F4D70"/>
    <w:rsid w:val="006F6973"/>
    <w:rsid w:val="006F6ED0"/>
    <w:rsid w:val="006F7473"/>
    <w:rsid w:val="006F751C"/>
    <w:rsid w:val="006F7F6B"/>
    <w:rsid w:val="00701D51"/>
    <w:rsid w:val="00701DF3"/>
    <w:rsid w:val="0070298E"/>
    <w:rsid w:val="00702D10"/>
    <w:rsid w:val="00703569"/>
    <w:rsid w:val="007039F3"/>
    <w:rsid w:val="0070572F"/>
    <w:rsid w:val="00705EC0"/>
    <w:rsid w:val="0070622F"/>
    <w:rsid w:val="007064C8"/>
    <w:rsid w:val="00707106"/>
    <w:rsid w:val="0070772A"/>
    <w:rsid w:val="0070792F"/>
    <w:rsid w:val="007102E5"/>
    <w:rsid w:val="00710649"/>
    <w:rsid w:val="00710809"/>
    <w:rsid w:val="0071082C"/>
    <w:rsid w:val="00711904"/>
    <w:rsid w:val="00712C69"/>
    <w:rsid w:val="00712D18"/>
    <w:rsid w:val="0071469B"/>
    <w:rsid w:val="00715C53"/>
    <w:rsid w:val="00717A63"/>
    <w:rsid w:val="00717D2B"/>
    <w:rsid w:val="007209C6"/>
    <w:rsid w:val="00721826"/>
    <w:rsid w:val="00721E98"/>
    <w:rsid w:val="00721FF9"/>
    <w:rsid w:val="007221BF"/>
    <w:rsid w:val="00722DBB"/>
    <w:rsid w:val="007235C9"/>
    <w:rsid w:val="00723974"/>
    <w:rsid w:val="007249E6"/>
    <w:rsid w:val="00725C10"/>
    <w:rsid w:val="00726CB6"/>
    <w:rsid w:val="00727CA1"/>
    <w:rsid w:val="0073078E"/>
    <w:rsid w:val="00731AF2"/>
    <w:rsid w:val="00732068"/>
    <w:rsid w:val="00732A30"/>
    <w:rsid w:val="00732E43"/>
    <w:rsid w:val="00734A9F"/>
    <w:rsid w:val="00734B70"/>
    <w:rsid w:val="00734C23"/>
    <w:rsid w:val="0073684C"/>
    <w:rsid w:val="00737349"/>
    <w:rsid w:val="007376BD"/>
    <w:rsid w:val="00737ED8"/>
    <w:rsid w:val="00740236"/>
    <w:rsid w:val="0074216E"/>
    <w:rsid w:val="0074357A"/>
    <w:rsid w:val="00744BC1"/>
    <w:rsid w:val="0074533E"/>
    <w:rsid w:val="007456D1"/>
    <w:rsid w:val="00746FFD"/>
    <w:rsid w:val="007473E3"/>
    <w:rsid w:val="00747BDC"/>
    <w:rsid w:val="00750528"/>
    <w:rsid w:val="0075067F"/>
    <w:rsid w:val="00750AF7"/>
    <w:rsid w:val="00750B56"/>
    <w:rsid w:val="00751C67"/>
    <w:rsid w:val="00751F90"/>
    <w:rsid w:val="007524E9"/>
    <w:rsid w:val="0075256D"/>
    <w:rsid w:val="00752CB5"/>
    <w:rsid w:val="00755D4E"/>
    <w:rsid w:val="0075645D"/>
    <w:rsid w:val="00756D6E"/>
    <w:rsid w:val="00756E0D"/>
    <w:rsid w:val="00756FAA"/>
    <w:rsid w:val="007573F5"/>
    <w:rsid w:val="00757416"/>
    <w:rsid w:val="007578C7"/>
    <w:rsid w:val="00757E16"/>
    <w:rsid w:val="00757E76"/>
    <w:rsid w:val="007616E2"/>
    <w:rsid w:val="007617E2"/>
    <w:rsid w:val="007626B9"/>
    <w:rsid w:val="00762895"/>
    <w:rsid w:val="00762DA6"/>
    <w:rsid w:val="00763E5D"/>
    <w:rsid w:val="00764D3E"/>
    <w:rsid w:val="00765F33"/>
    <w:rsid w:val="0076667C"/>
    <w:rsid w:val="0076795D"/>
    <w:rsid w:val="00770A53"/>
    <w:rsid w:val="00770C40"/>
    <w:rsid w:val="00770DF5"/>
    <w:rsid w:val="00773E0C"/>
    <w:rsid w:val="007749A9"/>
    <w:rsid w:val="00775386"/>
    <w:rsid w:val="007772AE"/>
    <w:rsid w:val="00780125"/>
    <w:rsid w:val="00780275"/>
    <w:rsid w:val="007811EE"/>
    <w:rsid w:val="00782A71"/>
    <w:rsid w:val="00782E2A"/>
    <w:rsid w:val="007837DF"/>
    <w:rsid w:val="007839FB"/>
    <w:rsid w:val="0078415F"/>
    <w:rsid w:val="007846C6"/>
    <w:rsid w:val="007853DE"/>
    <w:rsid w:val="007861AA"/>
    <w:rsid w:val="00786399"/>
    <w:rsid w:val="007877D2"/>
    <w:rsid w:val="00787E80"/>
    <w:rsid w:val="007907E6"/>
    <w:rsid w:val="00790E1E"/>
    <w:rsid w:val="00791F69"/>
    <w:rsid w:val="00793651"/>
    <w:rsid w:val="00794E8C"/>
    <w:rsid w:val="00795253"/>
    <w:rsid w:val="007A16DD"/>
    <w:rsid w:val="007A1CD4"/>
    <w:rsid w:val="007A21F1"/>
    <w:rsid w:val="007A2E64"/>
    <w:rsid w:val="007A3631"/>
    <w:rsid w:val="007A3975"/>
    <w:rsid w:val="007A4C10"/>
    <w:rsid w:val="007A6896"/>
    <w:rsid w:val="007A7434"/>
    <w:rsid w:val="007A74F5"/>
    <w:rsid w:val="007A7A2E"/>
    <w:rsid w:val="007B041D"/>
    <w:rsid w:val="007B1EDB"/>
    <w:rsid w:val="007B23E2"/>
    <w:rsid w:val="007B265C"/>
    <w:rsid w:val="007B3716"/>
    <w:rsid w:val="007B6208"/>
    <w:rsid w:val="007B72F4"/>
    <w:rsid w:val="007C06E6"/>
    <w:rsid w:val="007C0A91"/>
    <w:rsid w:val="007C0F05"/>
    <w:rsid w:val="007C1A1E"/>
    <w:rsid w:val="007C1CEE"/>
    <w:rsid w:val="007C44A3"/>
    <w:rsid w:val="007C46C4"/>
    <w:rsid w:val="007C5196"/>
    <w:rsid w:val="007C558E"/>
    <w:rsid w:val="007C6EA0"/>
    <w:rsid w:val="007C714A"/>
    <w:rsid w:val="007C71BD"/>
    <w:rsid w:val="007C72B5"/>
    <w:rsid w:val="007C74D9"/>
    <w:rsid w:val="007C7A45"/>
    <w:rsid w:val="007C7BA2"/>
    <w:rsid w:val="007D131C"/>
    <w:rsid w:val="007D1C6C"/>
    <w:rsid w:val="007D30B5"/>
    <w:rsid w:val="007D349F"/>
    <w:rsid w:val="007D3604"/>
    <w:rsid w:val="007D3E84"/>
    <w:rsid w:val="007D436E"/>
    <w:rsid w:val="007D47E3"/>
    <w:rsid w:val="007D4A48"/>
    <w:rsid w:val="007D589C"/>
    <w:rsid w:val="007D5EB4"/>
    <w:rsid w:val="007D5EC7"/>
    <w:rsid w:val="007D71B4"/>
    <w:rsid w:val="007D75F8"/>
    <w:rsid w:val="007E0428"/>
    <w:rsid w:val="007E280B"/>
    <w:rsid w:val="007E2F2F"/>
    <w:rsid w:val="007E38A8"/>
    <w:rsid w:val="007E523D"/>
    <w:rsid w:val="007E6E6E"/>
    <w:rsid w:val="007E7C28"/>
    <w:rsid w:val="007F01DE"/>
    <w:rsid w:val="007F0249"/>
    <w:rsid w:val="007F17C3"/>
    <w:rsid w:val="007F28FF"/>
    <w:rsid w:val="007F3204"/>
    <w:rsid w:val="007F3456"/>
    <w:rsid w:val="007F358C"/>
    <w:rsid w:val="007F35AB"/>
    <w:rsid w:val="007F3621"/>
    <w:rsid w:val="007F41DA"/>
    <w:rsid w:val="007F43FD"/>
    <w:rsid w:val="007F4901"/>
    <w:rsid w:val="007F5DDA"/>
    <w:rsid w:val="007F6685"/>
    <w:rsid w:val="007F7457"/>
    <w:rsid w:val="008027E0"/>
    <w:rsid w:val="00802CA8"/>
    <w:rsid w:val="00803145"/>
    <w:rsid w:val="0080369C"/>
    <w:rsid w:val="008043B4"/>
    <w:rsid w:val="008048B6"/>
    <w:rsid w:val="00810614"/>
    <w:rsid w:val="0081100F"/>
    <w:rsid w:val="008112DC"/>
    <w:rsid w:val="00811E1C"/>
    <w:rsid w:val="008126B3"/>
    <w:rsid w:val="00812702"/>
    <w:rsid w:val="00813627"/>
    <w:rsid w:val="00815858"/>
    <w:rsid w:val="00815B64"/>
    <w:rsid w:val="00817875"/>
    <w:rsid w:val="00821AAA"/>
    <w:rsid w:val="008226EC"/>
    <w:rsid w:val="00822EBB"/>
    <w:rsid w:val="00824879"/>
    <w:rsid w:val="00825374"/>
    <w:rsid w:val="008270EF"/>
    <w:rsid w:val="0082727B"/>
    <w:rsid w:val="00827F23"/>
    <w:rsid w:val="008311A0"/>
    <w:rsid w:val="00831528"/>
    <w:rsid w:val="00834FD8"/>
    <w:rsid w:val="008354F2"/>
    <w:rsid w:val="008359E3"/>
    <w:rsid w:val="00836577"/>
    <w:rsid w:val="00836FCB"/>
    <w:rsid w:val="008377DC"/>
    <w:rsid w:val="008409EA"/>
    <w:rsid w:val="00841547"/>
    <w:rsid w:val="0084240B"/>
    <w:rsid w:val="00842BEA"/>
    <w:rsid w:val="00842D01"/>
    <w:rsid w:val="008442AC"/>
    <w:rsid w:val="00844B94"/>
    <w:rsid w:val="00845D4D"/>
    <w:rsid w:val="00846826"/>
    <w:rsid w:val="008473C0"/>
    <w:rsid w:val="008506FF"/>
    <w:rsid w:val="00851090"/>
    <w:rsid w:val="008511E1"/>
    <w:rsid w:val="008524EF"/>
    <w:rsid w:val="00852DB1"/>
    <w:rsid w:val="00853C2C"/>
    <w:rsid w:val="008546DF"/>
    <w:rsid w:val="008552E5"/>
    <w:rsid w:val="00855BF0"/>
    <w:rsid w:val="008567D8"/>
    <w:rsid w:val="00856BB0"/>
    <w:rsid w:val="00857382"/>
    <w:rsid w:val="00860495"/>
    <w:rsid w:val="00860A09"/>
    <w:rsid w:val="00861A4C"/>
    <w:rsid w:val="00862349"/>
    <w:rsid w:val="0086383E"/>
    <w:rsid w:val="00863CB1"/>
    <w:rsid w:val="0086585D"/>
    <w:rsid w:val="00870598"/>
    <w:rsid w:val="00870D37"/>
    <w:rsid w:val="00871CA5"/>
    <w:rsid w:val="00872186"/>
    <w:rsid w:val="00872D7E"/>
    <w:rsid w:val="00872DFD"/>
    <w:rsid w:val="00874C88"/>
    <w:rsid w:val="00876638"/>
    <w:rsid w:val="00876DA4"/>
    <w:rsid w:val="00876F59"/>
    <w:rsid w:val="008772F5"/>
    <w:rsid w:val="008800AB"/>
    <w:rsid w:val="00880610"/>
    <w:rsid w:val="00880648"/>
    <w:rsid w:val="00880CE4"/>
    <w:rsid w:val="00880DF6"/>
    <w:rsid w:val="0088163C"/>
    <w:rsid w:val="0088182D"/>
    <w:rsid w:val="00882888"/>
    <w:rsid w:val="00884E13"/>
    <w:rsid w:val="00885890"/>
    <w:rsid w:val="0088741A"/>
    <w:rsid w:val="00890120"/>
    <w:rsid w:val="00890F8E"/>
    <w:rsid w:val="00891219"/>
    <w:rsid w:val="00891B41"/>
    <w:rsid w:val="00892154"/>
    <w:rsid w:val="0089243A"/>
    <w:rsid w:val="00892609"/>
    <w:rsid w:val="008936AD"/>
    <w:rsid w:val="00893D41"/>
    <w:rsid w:val="0089519A"/>
    <w:rsid w:val="008955FB"/>
    <w:rsid w:val="0089577C"/>
    <w:rsid w:val="008959C2"/>
    <w:rsid w:val="00896F81"/>
    <w:rsid w:val="00896FFD"/>
    <w:rsid w:val="00897B54"/>
    <w:rsid w:val="008A021A"/>
    <w:rsid w:val="008A0C02"/>
    <w:rsid w:val="008A0D5C"/>
    <w:rsid w:val="008A0E83"/>
    <w:rsid w:val="008A1BD2"/>
    <w:rsid w:val="008A35CA"/>
    <w:rsid w:val="008A407E"/>
    <w:rsid w:val="008A52C7"/>
    <w:rsid w:val="008A586E"/>
    <w:rsid w:val="008A60A7"/>
    <w:rsid w:val="008A7AE2"/>
    <w:rsid w:val="008B0F86"/>
    <w:rsid w:val="008B0FB4"/>
    <w:rsid w:val="008B2358"/>
    <w:rsid w:val="008B2CB6"/>
    <w:rsid w:val="008B3FEA"/>
    <w:rsid w:val="008B5436"/>
    <w:rsid w:val="008B5814"/>
    <w:rsid w:val="008B6728"/>
    <w:rsid w:val="008C0630"/>
    <w:rsid w:val="008C1E9B"/>
    <w:rsid w:val="008C249D"/>
    <w:rsid w:val="008C2C41"/>
    <w:rsid w:val="008C372B"/>
    <w:rsid w:val="008C4BD6"/>
    <w:rsid w:val="008D03F6"/>
    <w:rsid w:val="008D0810"/>
    <w:rsid w:val="008D18D0"/>
    <w:rsid w:val="008D237F"/>
    <w:rsid w:val="008D2CFD"/>
    <w:rsid w:val="008D3117"/>
    <w:rsid w:val="008D440F"/>
    <w:rsid w:val="008D445A"/>
    <w:rsid w:val="008D4A62"/>
    <w:rsid w:val="008D4F6F"/>
    <w:rsid w:val="008D5044"/>
    <w:rsid w:val="008D6C2D"/>
    <w:rsid w:val="008D7CB7"/>
    <w:rsid w:val="008E04EB"/>
    <w:rsid w:val="008E0630"/>
    <w:rsid w:val="008E15BB"/>
    <w:rsid w:val="008E1CD3"/>
    <w:rsid w:val="008E211C"/>
    <w:rsid w:val="008E2FDF"/>
    <w:rsid w:val="008E329A"/>
    <w:rsid w:val="008E380B"/>
    <w:rsid w:val="008E3D4C"/>
    <w:rsid w:val="008E58DB"/>
    <w:rsid w:val="008E6057"/>
    <w:rsid w:val="008E64F0"/>
    <w:rsid w:val="008E65BA"/>
    <w:rsid w:val="008E6774"/>
    <w:rsid w:val="008E6A56"/>
    <w:rsid w:val="008E72CE"/>
    <w:rsid w:val="008E7683"/>
    <w:rsid w:val="008F0086"/>
    <w:rsid w:val="008F0AB9"/>
    <w:rsid w:val="008F11EB"/>
    <w:rsid w:val="008F1A82"/>
    <w:rsid w:val="008F208B"/>
    <w:rsid w:val="008F2AE5"/>
    <w:rsid w:val="008F49D6"/>
    <w:rsid w:val="008F4C7A"/>
    <w:rsid w:val="008F5A60"/>
    <w:rsid w:val="008F6DCB"/>
    <w:rsid w:val="008F72B6"/>
    <w:rsid w:val="008F76E5"/>
    <w:rsid w:val="008F7AA5"/>
    <w:rsid w:val="008F7AEB"/>
    <w:rsid w:val="00900A21"/>
    <w:rsid w:val="0090258A"/>
    <w:rsid w:val="00904244"/>
    <w:rsid w:val="0090485C"/>
    <w:rsid w:val="00905B4E"/>
    <w:rsid w:val="00905BA3"/>
    <w:rsid w:val="009066F7"/>
    <w:rsid w:val="00906FE9"/>
    <w:rsid w:val="00910C9D"/>
    <w:rsid w:val="00910CB8"/>
    <w:rsid w:val="00910EB4"/>
    <w:rsid w:val="00911588"/>
    <w:rsid w:val="00912C24"/>
    <w:rsid w:val="00913C8B"/>
    <w:rsid w:val="009150C7"/>
    <w:rsid w:val="009155EA"/>
    <w:rsid w:val="00916E6C"/>
    <w:rsid w:val="009170B3"/>
    <w:rsid w:val="0092032A"/>
    <w:rsid w:val="00920B00"/>
    <w:rsid w:val="00920BFE"/>
    <w:rsid w:val="009221FC"/>
    <w:rsid w:val="00924442"/>
    <w:rsid w:val="00924731"/>
    <w:rsid w:val="009249FE"/>
    <w:rsid w:val="00924B8D"/>
    <w:rsid w:val="00925473"/>
    <w:rsid w:val="0092550D"/>
    <w:rsid w:val="00925694"/>
    <w:rsid w:val="00930CCE"/>
    <w:rsid w:val="00930DFC"/>
    <w:rsid w:val="00931ED5"/>
    <w:rsid w:val="00932121"/>
    <w:rsid w:val="009324B7"/>
    <w:rsid w:val="009324F4"/>
    <w:rsid w:val="0093256B"/>
    <w:rsid w:val="00932A90"/>
    <w:rsid w:val="00932AE5"/>
    <w:rsid w:val="00933287"/>
    <w:rsid w:val="009334F7"/>
    <w:rsid w:val="00933C1F"/>
    <w:rsid w:val="0093622C"/>
    <w:rsid w:val="00936E1A"/>
    <w:rsid w:val="009401C6"/>
    <w:rsid w:val="00940403"/>
    <w:rsid w:val="0094319B"/>
    <w:rsid w:val="0094401D"/>
    <w:rsid w:val="0094409B"/>
    <w:rsid w:val="00944478"/>
    <w:rsid w:val="00944DEC"/>
    <w:rsid w:val="00945EED"/>
    <w:rsid w:val="009462B4"/>
    <w:rsid w:val="00946390"/>
    <w:rsid w:val="00946A12"/>
    <w:rsid w:val="009475C1"/>
    <w:rsid w:val="009508FC"/>
    <w:rsid w:val="00950910"/>
    <w:rsid w:val="00950F8D"/>
    <w:rsid w:val="009516B6"/>
    <w:rsid w:val="00952401"/>
    <w:rsid w:val="0095454C"/>
    <w:rsid w:val="009545F3"/>
    <w:rsid w:val="00954B4C"/>
    <w:rsid w:val="00955A19"/>
    <w:rsid w:val="00956785"/>
    <w:rsid w:val="0095697A"/>
    <w:rsid w:val="009604C8"/>
    <w:rsid w:val="00961C41"/>
    <w:rsid w:val="009625A6"/>
    <w:rsid w:val="00962860"/>
    <w:rsid w:val="0096365F"/>
    <w:rsid w:val="0096462E"/>
    <w:rsid w:val="00965C83"/>
    <w:rsid w:val="009676FD"/>
    <w:rsid w:val="00967760"/>
    <w:rsid w:val="009711CE"/>
    <w:rsid w:val="00971ED3"/>
    <w:rsid w:val="00971F12"/>
    <w:rsid w:val="00971FF7"/>
    <w:rsid w:val="00972398"/>
    <w:rsid w:val="00973159"/>
    <w:rsid w:val="00973AA8"/>
    <w:rsid w:val="009746F4"/>
    <w:rsid w:val="00976A37"/>
    <w:rsid w:val="009778DA"/>
    <w:rsid w:val="00977EDE"/>
    <w:rsid w:val="00981462"/>
    <w:rsid w:val="00981737"/>
    <w:rsid w:val="00981A06"/>
    <w:rsid w:val="009820D2"/>
    <w:rsid w:val="00982E7D"/>
    <w:rsid w:val="00983BFF"/>
    <w:rsid w:val="009840C4"/>
    <w:rsid w:val="00984674"/>
    <w:rsid w:val="00984D77"/>
    <w:rsid w:val="0098513B"/>
    <w:rsid w:val="0098550A"/>
    <w:rsid w:val="00985988"/>
    <w:rsid w:val="00985CD3"/>
    <w:rsid w:val="00985EA3"/>
    <w:rsid w:val="009865B6"/>
    <w:rsid w:val="0098726C"/>
    <w:rsid w:val="00987432"/>
    <w:rsid w:val="00987CAA"/>
    <w:rsid w:val="0099059B"/>
    <w:rsid w:val="0099060A"/>
    <w:rsid w:val="00991ACA"/>
    <w:rsid w:val="00991F13"/>
    <w:rsid w:val="00992571"/>
    <w:rsid w:val="0099268E"/>
    <w:rsid w:val="00992D41"/>
    <w:rsid w:val="00993B9D"/>
    <w:rsid w:val="0099441B"/>
    <w:rsid w:val="0099567F"/>
    <w:rsid w:val="009958A9"/>
    <w:rsid w:val="00996C53"/>
    <w:rsid w:val="00997BFE"/>
    <w:rsid w:val="009A0062"/>
    <w:rsid w:val="009A14B1"/>
    <w:rsid w:val="009A328F"/>
    <w:rsid w:val="009A6AAF"/>
    <w:rsid w:val="009A7A2C"/>
    <w:rsid w:val="009A7FDE"/>
    <w:rsid w:val="009B0AD7"/>
    <w:rsid w:val="009B1975"/>
    <w:rsid w:val="009B1A4C"/>
    <w:rsid w:val="009B1EF3"/>
    <w:rsid w:val="009B2068"/>
    <w:rsid w:val="009B22D3"/>
    <w:rsid w:val="009B2329"/>
    <w:rsid w:val="009B238A"/>
    <w:rsid w:val="009B2503"/>
    <w:rsid w:val="009B3164"/>
    <w:rsid w:val="009B412D"/>
    <w:rsid w:val="009B4927"/>
    <w:rsid w:val="009B4FD3"/>
    <w:rsid w:val="009B52AE"/>
    <w:rsid w:val="009B5A43"/>
    <w:rsid w:val="009B7458"/>
    <w:rsid w:val="009B7600"/>
    <w:rsid w:val="009B7A06"/>
    <w:rsid w:val="009C03E7"/>
    <w:rsid w:val="009C0816"/>
    <w:rsid w:val="009C18BF"/>
    <w:rsid w:val="009C23F7"/>
    <w:rsid w:val="009C249C"/>
    <w:rsid w:val="009C25F2"/>
    <w:rsid w:val="009C32B4"/>
    <w:rsid w:val="009C3F57"/>
    <w:rsid w:val="009C6308"/>
    <w:rsid w:val="009C7111"/>
    <w:rsid w:val="009C7B37"/>
    <w:rsid w:val="009D041F"/>
    <w:rsid w:val="009D0D83"/>
    <w:rsid w:val="009D1232"/>
    <w:rsid w:val="009D1843"/>
    <w:rsid w:val="009D2376"/>
    <w:rsid w:val="009D2708"/>
    <w:rsid w:val="009D2B80"/>
    <w:rsid w:val="009D7181"/>
    <w:rsid w:val="009D735B"/>
    <w:rsid w:val="009E04BE"/>
    <w:rsid w:val="009E3922"/>
    <w:rsid w:val="009E4305"/>
    <w:rsid w:val="009E4B11"/>
    <w:rsid w:val="009E62F2"/>
    <w:rsid w:val="009E7AD6"/>
    <w:rsid w:val="009E7C35"/>
    <w:rsid w:val="009F0484"/>
    <w:rsid w:val="009F214A"/>
    <w:rsid w:val="009F24BC"/>
    <w:rsid w:val="009F27F6"/>
    <w:rsid w:val="009F2A99"/>
    <w:rsid w:val="009F320E"/>
    <w:rsid w:val="009F58E4"/>
    <w:rsid w:val="009F660C"/>
    <w:rsid w:val="00A00457"/>
    <w:rsid w:val="00A00B05"/>
    <w:rsid w:val="00A01CE0"/>
    <w:rsid w:val="00A0255D"/>
    <w:rsid w:val="00A02C77"/>
    <w:rsid w:val="00A04359"/>
    <w:rsid w:val="00A048B7"/>
    <w:rsid w:val="00A05300"/>
    <w:rsid w:val="00A06724"/>
    <w:rsid w:val="00A06FE2"/>
    <w:rsid w:val="00A100F4"/>
    <w:rsid w:val="00A1062E"/>
    <w:rsid w:val="00A1131C"/>
    <w:rsid w:val="00A12740"/>
    <w:rsid w:val="00A131E5"/>
    <w:rsid w:val="00A13E65"/>
    <w:rsid w:val="00A159C8"/>
    <w:rsid w:val="00A16C67"/>
    <w:rsid w:val="00A16CBA"/>
    <w:rsid w:val="00A17A73"/>
    <w:rsid w:val="00A2095F"/>
    <w:rsid w:val="00A21071"/>
    <w:rsid w:val="00A22828"/>
    <w:rsid w:val="00A23993"/>
    <w:rsid w:val="00A24207"/>
    <w:rsid w:val="00A2448A"/>
    <w:rsid w:val="00A24A02"/>
    <w:rsid w:val="00A24B08"/>
    <w:rsid w:val="00A24FE3"/>
    <w:rsid w:val="00A25B3A"/>
    <w:rsid w:val="00A25FEB"/>
    <w:rsid w:val="00A2732E"/>
    <w:rsid w:val="00A2781A"/>
    <w:rsid w:val="00A27CBE"/>
    <w:rsid w:val="00A30473"/>
    <w:rsid w:val="00A30490"/>
    <w:rsid w:val="00A31E15"/>
    <w:rsid w:val="00A3236A"/>
    <w:rsid w:val="00A3241D"/>
    <w:rsid w:val="00A333C3"/>
    <w:rsid w:val="00A34D2B"/>
    <w:rsid w:val="00A35108"/>
    <w:rsid w:val="00A35A72"/>
    <w:rsid w:val="00A35ADF"/>
    <w:rsid w:val="00A35BA6"/>
    <w:rsid w:val="00A40FDC"/>
    <w:rsid w:val="00A41049"/>
    <w:rsid w:val="00A41938"/>
    <w:rsid w:val="00A4222C"/>
    <w:rsid w:val="00A43F91"/>
    <w:rsid w:val="00A447B4"/>
    <w:rsid w:val="00A460D7"/>
    <w:rsid w:val="00A464CA"/>
    <w:rsid w:val="00A501D3"/>
    <w:rsid w:val="00A502A1"/>
    <w:rsid w:val="00A51480"/>
    <w:rsid w:val="00A5189F"/>
    <w:rsid w:val="00A51E46"/>
    <w:rsid w:val="00A51EDD"/>
    <w:rsid w:val="00A51F04"/>
    <w:rsid w:val="00A53216"/>
    <w:rsid w:val="00A53EC6"/>
    <w:rsid w:val="00A5466C"/>
    <w:rsid w:val="00A54D86"/>
    <w:rsid w:val="00A54DF1"/>
    <w:rsid w:val="00A5631F"/>
    <w:rsid w:val="00A5665E"/>
    <w:rsid w:val="00A61111"/>
    <w:rsid w:val="00A61BF5"/>
    <w:rsid w:val="00A61F79"/>
    <w:rsid w:val="00A61F93"/>
    <w:rsid w:val="00A6239A"/>
    <w:rsid w:val="00A65408"/>
    <w:rsid w:val="00A659B2"/>
    <w:rsid w:val="00A65FCA"/>
    <w:rsid w:val="00A66C22"/>
    <w:rsid w:val="00A66C6B"/>
    <w:rsid w:val="00A70E4E"/>
    <w:rsid w:val="00A71861"/>
    <w:rsid w:val="00A7196E"/>
    <w:rsid w:val="00A71E72"/>
    <w:rsid w:val="00A72087"/>
    <w:rsid w:val="00A72158"/>
    <w:rsid w:val="00A72292"/>
    <w:rsid w:val="00A741ED"/>
    <w:rsid w:val="00A757F6"/>
    <w:rsid w:val="00A77983"/>
    <w:rsid w:val="00A7798D"/>
    <w:rsid w:val="00A801E1"/>
    <w:rsid w:val="00A80694"/>
    <w:rsid w:val="00A815A3"/>
    <w:rsid w:val="00A82E4E"/>
    <w:rsid w:val="00A82EE6"/>
    <w:rsid w:val="00A84D1F"/>
    <w:rsid w:val="00A85A65"/>
    <w:rsid w:val="00A8652B"/>
    <w:rsid w:val="00A87BAD"/>
    <w:rsid w:val="00A90529"/>
    <w:rsid w:val="00A90DE1"/>
    <w:rsid w:val="00A92639"/>
    <w:rsid w:val="00A92E63"/>
    <w:rsid w:val="00A92E84"/>
    <w:rsid w:val="00A9379A"/>
    <w:rsid w:val="00A949FE"/>
    <w:rsid w:val="00A96704"/>
    <w:rsid w:val="00A96C23"/>
    <w:rsid w:val="00A972B6"/>
    <w:rsid w:val="00AA05E3"/>
    <w:rsid w:val="00AA0BC7"/>
    <w:rsid w:val="00AA116C"/>
    <w:rsid w:val="00AA1A70"/>
    <w:rsid w:val="00AA224C"/>
    <w:rsid w:val="00AA49A9"/>
    <w:rsid w:val="00AA5158"/>
    <w:rsid w:val="00AA5992"/>
    <w:rsid w:val="00AA660D"/>
    <w:rsid w:val="00AA7508"/>
    <w:rsid w:val="00AA7EAE"/>
    <w:rsid w:val="00AB0EA1"/>
    <w:rsid w:val="00AB0EB1"/>
    <w:rsid w:val="00AB1AC0"/>
    <w:rsid w:val="00AB20F1"/>
    <w:rsid w:val="00AB21B3"/>
    <w:rsid w:val="00AB3308"/>
    <w:rsid w:val="00AB4AE0"/>
    <w:rsid w:val="00AB596A"/>
    <w:rsid w:val="00AB7AE0"/>
    <w:rsid w:val="00AC01C4"/>
    <w:rsid w:val="00AC04E7"/>
    <w:rsid w:val="00AC302E"/>
    <w:rsid w:val="00AC4916"/>
    <w:rsid w:val="00AC4B38"/>
    <w:rsid w:val="00AC4BF9"/>
    <w:rsid w:val="00AC60A8"/>
    <w:rsid w:val="00AC61B5"/>
    <w:rsid w:val="00AC6276"/>
    <w:rsid w:val="00AC6739"/>
    <w:rsid w:val="00AC7604"/>
    <w:rsid w:val="00AC7891"/>
    <w:rsid w:val="00AC7B6D"/>
    <w:rsid w:val="00AD0185"/>
    <w:rsid w:val="00AD01F2"/>
    <w:rsid w:val="00AD09A9"/>
    <w:rsid w:val="00AD0B5C"/>
    <w:rsid w:val="00AD11B2"/>
    <w:rsid w:val="00AD16AA"/>
    <w:rsid w:val="00AD2EE7"/>
    <w:rsid w:val="00AD3FC4"/>
    <w:rsid w:val="00AD507F"/>
    <w:rsid w:val="00AD5605"/>
    <w:rsid w:val="00AD5B0A"/>
    <w:rsid w:val="00AD708B"/>
    <w:rsid w:val="00AD7138"/>
    <w:rsid w:val="00AD7543"/>
    <w:rsid w:val="00AD75A2"/>
    <w:rsid w:val="00AD7C62"/>
    <w:rsid w:val="00AE0820"/>
    <w:rsid w:val="00AE10FA"/>
    <w:rsid w:val="00AE12AE"/>
    <w:rsid w:val="00AE15E9"/>
    <w:rsid w:val="00AE3C35"/>
    <w:rsid w:val="00AE44C9"/>
    <w:rsid w:val="00AE4EA4"/>
    <w:rsid w:val="00AE6A78"/>
    <w:rsid w:val="00AE74EB"/>
    <w:rsid w:val="00AF18EA"/>
    <w:rsid w:val="00AF1B8E"/>
    <w:rsid w:val="00AF2CD0"/>
    <w:rsid w:val="00AF3D28"/>
    <w:rsid w:val="00AF5356"/>
    <w:rsid w:val="00AF5450"/>
    <w:rsid w:val="00AF61CA"/>
    <w:rsid w:val="00AF6BC3"/>
    <w:rsid w:val="00AF75A8"/>
    <w:rsid w:val="00B00425"/>
    <w:rsid w:val="00B00696"/>
    <w:rsid w:val="00B016E9"/>
    <w:rsid w:val="00B025AA"/>
    <w:rsid w:val="00B03243"/>
    <w:rsid w:val="00B034D0"/>
    <w:rsid w:val="00B03579"/>
    <w:rsid w:val="00B039D0"/>
    <w:rsid w:val="00B041C8"/>
    <w:rsid w:val="00B04AE5"/>
    <w:rsid w:val="00B066B3"/>
    <w:rsid w:val="00B0712A"/>
    <w:rsid w:val="00B07B60"/>
    <w:rsid w:val="00B11E01"/>
    <w:rsid w:val="00B1221E"/>
    <w:rsid w:val="00B1366B"/>
    <w:rsid w:val="00B13837"/>
    <w:rsid w:val="00B14690"/>
    <w:rsid w:val="00B1554C"/>
    <w:rsid w:val="00B17A8D"/>
    <w:rsid w:val="00B211DC"/>
    <w:rsid w:val="00B215A7"/>
    <w:rsid w:val="00B224EB"/>
    <w:rsid w:val="00B23060"/>
    <w:rsid w:val="00B23AAD"/>
    <w:rsid w:val="00B24382"/>
    <w:rsid w:val="00B24DC8"/>
    <w:rsid w:val="00B24E71"/>
    <w:rsid w:val="00B253EB"/>
    <w:rsid w:val="00B25FCA"/>
    <w:rsid w:val="00B3007A"/>
    <w:rsid w:val="00B313A6"/>
    <w:rsid w:val="00B3208A"/>
    <w:rsid w:val="00B32CEE"/>
    <w:rsid w:val="00B35585"/>
    <w:rsid w:val="00B358C4"/>
    <w:rsid w:val="00B3672C"/>
    <w:rsid w:val="00B36C59"/>
    <w:rsid w:val="00B3716F"/>
    <w:rsid w:val="00B37F18"/>
    <w:rsid w:val="00B42839"/>
    <w:rsid w:val="00B4314F"/>
    <w:rsid w:val="00B4322F"/>
    <w:rsid w:val="00B43C67"/>
    <w:rsid w:val="00B47940"/>
    <w:rsid w:val="00B5062C"/>
    <w:rsid w:val="00B508BB"/>
    <w:rsid w:val="00B516BC"/>
    <w:rsid w:val="00B51A25"/>
    <w:rsid w:val="00B51C3F"/>
    <w:rsid w:val="00B51E68"/>
    <w:rsid w:val="00B5212E"/>
    <w:rsid w:val="00B5232D"/>
    <w:rsid w:val="00B535F7"/>
    <w:rsid w:val="00B5515E"/>
    <w:rsid w:val="00B565B3"/>
    <w:rsid w:val="00B57423"/>
    <w:rsid w:val="00B5751E"/>
    <w:rsid w:val="00B6002C"/>
    <w:rsid w:val="00B602EE"/>
    <w:rsid w:val="00B610FF"/>
    <w:rsid w:val="00B6112C"/>
    <w:rsid w:val="00B62902"/>
    <w:rsid w:val="00B629F9"/>
    <w:rsid w:val="00B652B8"/>
    <w:rsid w:val="00B65BB6"/>
    <w:rsid w:val="00B668A4"/>
    <w:rsid w:val="00B6704C"/>
    <w:rsid w:val="00B674F8"/>
    <w:rsid w:val="00B7005C"/>
    <w:rsid w:val="00B704B6"/>
    <w:rsid w:val="00B70704"/>
    <w:rsid w:val="00B71677"/>
    <w:rsid w:val="00B7274A"/>
    <w:rsid w:val="00B74D09"/>
    <w:rsid w:val="00B76B8A"/>
    <w:rsid w:val="00B77479"/>
    <w:rsid w:val="00B80460"/>
    <w:rsid w:val="00B81CE4"/>
    <w:rsid w:val="00B82A30"/>
    <w:rsid w:val="00B82E21"/>
    <w:rsid w:val="00B83A7D"/>
    <w:rsid w:val="00B84A97"/>
    <w:rsid w:val="00B84C00"/>
    <w:rsid w:val="00B84CB4"/>
    <w:rsid w:val="00B84FF2"/>
    <w:rsid w:val="00B854FC"/>
    <w:rsid w:val="00B85858"/>
    <w:rsid w:val="00B85FCD"/>
    <w:rsid w:val="00B86F8D"/>
    <w:rsid w:val="00B90187"/>
    <w:rsid w:val="00B9051C"/>
    <w:rsid w:val="00B90A5A"/>
    <w:rsid w:val="00B91D04"/>
    <w:rsid w:val="00B92B1A"/>
    <w:rsid w:val="00B93178"/>
    <w:rsid w:val="00B93498"/>
    <w:rsid w:val="00B9350F"/>
    <w:rsid w:val="00B9468F"/>
    <w:rsid w:val="00B94E0F"/>
    <w:rsid w:val="00B953EB"/>
    <w:rsid w:val="00B9665C"/>
    <w:rsid w:val="00B96703"/>
    <w:rsid w:val="00B96D43"/>
    <w:rsid w:val="00B96EA3"/>
    <w:rsid w:val="00B97BA5"/>
    <w:rsid w:val="00BA0054"/>
    <w:rsid w:val="00BA01D4"/>
    <w:rsid w:val="00BA0630"/>
    <w:rsid w:val="00BA1787"/>
    <w:rsid w:val="00BA2BF9"/>
    <w:rsid w:val="00BA43C7"/>
    <w:rsid w:val="00BA4ACF"/>
    <w:rsid w:val="00BA4B5D"/>
    <w:rsid w:val="00BA503C"/>
    <w:rsid w:val="00BA53A5"/>
    <w:rsid w:val="00BA542C"/>
    <w:rsid w:val="00BA5915"/>
    <w:rsid w:val="00BA6263"/>
    <w:rsid w:val="00BA77C5"/>
    <w:rsid w:val="00BA7B96"/>
    <w:rsid w:val="00BB0D1C"/>
    <w:rsid w:val="00BB102A"/>
    <w:rsid w:val="00BB294A"/>
    <w:rsid w:val="00BB2B39"/>
    <w:rsid w:val="00BB4AA3"/>
    <w:rsid w:val="00BB5C09"/>
    <w:rsid w:val="00BB5EBC"/>
    <w:rsid w:val="00BC0E07"/>
    <w:rsid w:val="00BC1304"/>
    <w:rsid w:val="00BC145A"/>
    <w:rsid w:val="00BC289E"/>
    <w:rsid w:val="00BC28FB"/>
    <w:rsid w:val="00BC3A04"/>
    <w:rsid w:val="00BC4321"/>
    <w:rsid w:val="00BC710C"/>
    <w:rsid w:val="00BD0DC3"/>
    <w:rsid w:val="00BD2960"/>
    <w:rsid w:val="00BD2B4A"/>
    <w:rsid w:val="00BD3913"/>
    <w:rsid w:val="00BD39F3"/>
    <w:rsid w:val="00BD3B84"/>
    <w:rsid w:val="00BD4547"/>
    <w:rsid w:val="00BD49DA"/>
    <w:rsid w:val="00BD4AEE"/>
    <w:rsid w:val="00BD4DB8"/>
    <w:rsid w:val="00BD7A22"/>
    <w:rsid w:val="00BD7CF9"/>
    <w:rsid w:val="00BE18F2"/>
    <w:rsid w:val="00BE1BA4"/>
    <w:rsid w:val="00BE1BF0"/>
    <w:rsid w:val="00BE1ED3"/>
    <w:rsid w:val="00BE1FA9"/>
    <w:rsid w:val="00BE5186"/>
    <w:rsid w:val="00BE6147"/>
    <w:rsid w:val="00BE6867"/>
    <w:rsid w:val="00BF0B76"/>
    <w:rsid w:val="00BF1D95"/>
    <w:rsid w:val="00BF2621"/>
    <w:rsid w:val="00BF2692"/>
    <w:rsid w:val="00BF273A"/>
    <w:rsid w:val="00BF38DF"/>
    <w:rsid w:val="00BF3B3B"/>
    <w:rsid w:val="00BF46A6"/>
    <w:rsid w:val="00BF4BEC"/>
    <w:rsid w:val="00BF6622"/>
    <w:rsid w:val="00BF6ED6"/>
    <w:rsid w:val="00BF7014"/>
    <w:rsid w:val="00BF7581"/>
    <w:rsid w:val="00BF7701"/>
    <w:rsid w:val="00BF7B55"/>
    <w:rsid w:val="00C0029D"/>
    <w:rsid w:val="00C01FBD"/>
    <w:rsid w:val="00C021D6"/>
    <w:rsid w:val="00C02A29"/>
    <w:rsid w:val="00C02DB8"/>
    <w:rsid w:val="00C03589"/>
    <w:rsid w:val="00C0376D"/>
    <w:rsid w:val="00C03CAC"/>
    <w:rsid w:val="00C052AE"/>
    <w:rsid w:val="00C05ABE"/>
    <w:rsid w:val="00C05FF6"/>
    <w:rsid w:val="00C0602C"/>
    <w:rsid w:val="00C063F3"/>
    <w:rsid w:val="00C0785E"/>
    <w:rsid w:val="00C10988"/>
    <w:rsid w:val="00C112CC"/>
    <w:rsid w:val="00C112ED"/>
    <w:rsid w:val="00C11C77"/>
    <w:rsid w:val="00C12ADB"/>
    <w:rsid w:val="00C13111"/>
    <w:rsid w:val="00C134BC"/>
    <w:rsid w:val="00C13759"/>
    <w:rsid w:val="00C14204"/>
    <w:rsid w:val="00C150D6"/>
    <w:rsid w:val="00C153C4"/>
    <w:rsid w:val="00C15617"/>
    <w:rsid w:val="00C15756"/>
    <w:rsid w:val="00C204A1"/>
    <w:rsid w:val="00C205A6"/>
    <w:rsid w:val="00C20743"/>
    <w:rsid w:val="00C2139D"/>
    <w:rsid w:val="00C214A4"/>
    <w:rsid w:val="00C2287D"/>
    <w:rsid w:val="00C22BB2"/>
    <w:rsid w:val="00C251F1"/>
    <w:rsid w:val="00C30820"/>
    <w:rsid w:val="00C30EC8"/>
    <w:rsid w:val="00C3144B"/>
    <w:rsid w:val="00C32A5B"/>
    <w:rsid w:val="00C33BF1"/>
    <w:rsid w:val="00C33E2D"/>
    <w:rsid w:val="00C345B8"/>
    <w:rsid w:val="00C349FC"/>
    <w:rsid w:val="00C351E6"/>
    <w:rsid w:val="00C35433"/>
    <w:rsid w:val="00C35468"/>
    <w:rsid w:val="00C35C0B"/>
    <w:rsid w:val="00C369EB"/>
    <w:rsid w:val="00C36F6C"/>
    <w:rsid w:val="00C405DA"/>
    <w:rsid w:val="00C40D8A"/>
    <w:rsid w:val="00C40FE8"/>
    <w:rsid w:val="00C411AF"/>
    <w:rsid w:val="00C41F98"/>
    <w:rsid w:val="00C42155"/>
    <w:rsid w:val="00C423B4"/>
    <w:rsid w:val="00C42B2A"/>
    <w:rsid w:val="00C4440E"/>
    <w:rsid w:val="00C45AA9"/>
    <w:rsid w:val="00C46B55"/>
    <w:rsid w:val="00C51B61"/>
    <w:rsid w:val="00C51B6E"/>
    <w:rsid w:val="00C53C52"/>
    <w:rsid w:val="00C54EC7"/>
    <w:rsid w:val="00C5525F"/>
    <w:rsid w:val="00C55F3B"/>
    <w:rsid w:val="00C575D2"/>
    <w:rsid w:val="00C57827"/>
    <w:rsid w:val="00C57D23"/>
    <w:rsid w:val="00C60113"/>
    <w:rsid w:val="00C60C0D"/>
    <w:rsid w:val="00C60CFF"/>
    <w:rsid w:val="00C61C1B"/>
    <w:rsid w:val="00C61F1F"/>
    <w:rsid w:val="00C62F7A"/>
    <w:rsid w:val="00C64230"/>
    <w:rsid w:val="00C65025"/>
    <w:rsid w:val="00C65924"/>
    <w:rsid w:val="00C662E1"/>
    <w:rsid w:val="00C662F7"/>
    <w:rsid w:val="00C6782E"/>
    <w:rsid w:val="00C7169D"/>
    <w:rsid w:val="00C720C6"/>
    <w:rsid w:val="00C73715"/>
    <w:rsid w:val="00C73B62"/>
    <w:rsid w:val="00C76BDE"/>
    <w:rsid w:val="00C81362"/>
    <w:rsid w:val="00C82EE6"/>
    <w:rsid w:val="00C83795"/>
    <w:rsid w:val="00C84187"/>
    <w:rsid w:val="00C84C01"/>
    <w:rsid w:val="00C85287"/>
    <w:rsid w:val="00C86B2C"/>
    <w:rsid w:val="00C90694"/>
    <w:rsid w:val="00C911EB"/>
    <w:rsid w:val="00C92D3F"/>
    <w:rsid w:val="00C930B3"/>
    <w:rsid w:val="00C93831"/>
    <w:rsid w:val="00C9558F"/>
    <w:rsid w:val="00C967FA"/>
    <w:rsid w:val="00C968B5"/>
    <w:rsid w:val="00C97479"/>
    <w:rsid w:val="00C977E9"/>
    <w:rsid w:val="00C978D7"/>
    <w:rsid w:val="00CA05D9"/>
    <w:rsid w:val="00CA08AA"/>
    <w:rsid w:val="00CA1164"/>
    <w:rsid w:val="00CA1ECD"/>
    <w:rsid w:val="00CA2A14"/>
    <w:rsid w:val="00CA56BA"/>
    <w:rsid w:val="00CA5E1D"/>
    <w:rsid w:val="00CA61BB"/>
    <w:rsid w:val="00CA63E1"/>
    <w:rsid w:val="00CA74C0"/>
    <w:rsid w:val="00CB06F8"/>
    <w:rsid w:val="00CB1431"/>
    <w:rsid w:val="00CB272E"/>
    <w:rsid w:val="00CB3119"/>
    <w:rsid w:val="00CB4669"/>
    <w:rsid w:val="00CB5206"/>
    <w:rsid w:val="00CB6667"/>
    <w:rsid w:val="00CC14D7"/>
    <w:rsid w:val="00CC2049"/>
    <w:rsid w:val="00CC2761"/>
    <w:rsid w:val="00CC2C0C"/>
    <w:rsid w:val="00CC3193"/>
    <w:rsid w:val="00CC3206"/>
    <w:rsid w:val="00CC456C"/>
    <w:rsid w:val="00CC4C55"/>
    <w:rsid w:val="00CC60C0"/>
    <w:rsid w:val="00CC6840"/>
    <w:rsid w:val="00CC6B24"/>
    <w:rsid w:val="00CC7937"/>
    <w:rsid w:val="00CD13E7"/>
    <w:rsid w:val="00CD2176"/>
    <w:rsid w:val="00CD25AF"/>
    <w:rsid w:val="00CD2631"/>
    <w:rsid w:val="00CD3F0F"/>
    <w:rsid w:val="00CD46B2"/>
    <w:rsid w:val="00CD4B53"/>
    <w:rsid w:val="00CD4E98"/>
    <w:rsid w:val="00CD5405"/>
    <w:rsid w:val="00CD6027"/>
    <w:rsid w:val="00CD607A"/>
    <w:rsid w:val="00CE0156"/>
    <w:rsid w:val="00CE115D"/>
    <w:rsid w:val="00CE1B6E"/>
    <w:rsid w:val="00CE1F4C"/>
    <w:rsid w:val="00CE2A66"/>
    <w:rsid w:val="00CE377B"/>
    <w:rsid w:val="00CE3D92"/>
    <w:rsid w:val="00CE4A4F"/>
    <w:rsid w:val="00CE4C3C"/>
    <w:rsid w:val="00CE4C60"/>
    <w:rsid w:val="00CE76FB"/>
    <w:rsid w:val="00CE7982"/>
    <w:rsid w:val="00CE7DA5"/>
    <w:rsid w:val="00CE7E63"/>
    <w:rsid w:val="00CE7FA4"/>
    <w:rsid w:val="00CF06F0"/>
    <w:rsid w:val="00CF1127"/>
    <w:rsid w:val="00CF1ADB"/>
    <w:rsid w:val="00CF1FA7"/>
    <w:rsid w:val="00CF3149"/>
    <w:rsid w:val="00CF4AE2"/>
    <w:rsid w:val="00CF7F92"/>
    <w:rsid w:val="00D007E5"/>
    <w:rsid w:val="00D01182"/>
    <w:rsid w:val="00D03539"/>
    <w:rsid w:val="00D038AE"/>
    <w:rsid w:val="00D039D1"/>
    <w:rsid w:val="00D03B68"/>
    <w:rsid w:val="00D04175"/>
    <w:rsid w:val="00D04D61"/>
    <w:rsid w:val="00D05584"/>
    <w:rsid w:val="00D05AD3"/>
    <w:rsid w:val="00D06533"/>
    <w:rsid w:val="00D06C52"/>
    <w:rsid w:val="00D10B6A"/>
    <w:rsid w:val="00D10BDD"/>
    <w:rsid w:val="00D1121B"/>
    <w:rsid w:val="00D11555"/>
    <w:rsid w:val="00D1217F"/>
    <w:rsid w:val="00D124A1"/>
    <w:rsid w:val="00D127CB"/>
    <w:rsid w:val="00D12D90"/>
    <w:rsid w:val="00D13847"/>
    <w:rsid w:val="00D14057"/>
    <w:rsid w:val="00D15D6A"/>
    <w:rsid w:val="00D167DE"/>
    <w:rsid w:val="00D1727D"/>
    <w:rsid w:val="00D17565"/>
    <w:rsid w:val="00D17B58"/>
    <w:rsid w:val="00D218D6"/>
    <w:rsid w:val="00D23A97"/>
    <w:rsid w:val="00D257F7"/>
    <w:rsid w:val="00D25AAB"/>
    <w:rsid w:val="00D262F4"/>
    <w:rsid w:val="00D26702"/>
    <w:rsid w:val="00D26E5C"/>
    <w:rsid w:val="00D26F5A"/>
    <w:rsid w:val="00D3013C"/>
    <w:rsid w:val="00D30C72"/>
    <w:rsid w:val="00D3161D"/>
    <w:rsid w:val="00D32EB2"/>
    <w:rsid w:val="00D34EA3"/>
    <w:rsid w:val="00D36637"/>
    <w:rsid w:val="00D36D0F"/>
    <w:rsid w:val="00D40EE7"/>
    <w:rsid w:val="00D42B09"/>
    <w:rsid w:val="00D43FD3"/>
    <w:rsid w:val="00D4645D"/>
    <w:rsid w:val="00D46655"/>
    <w:rsid w:val="00D466A8"/>
    <w:rsid w:val="00D4736F"/>
    <w:rsid w:val="00D4760A"/>
    <w:rsid w:val="00D5269E"/>
    <w:rsid w:val="00D53589"/>
    <w:rsid w:val="00D535A1"/>
    <w:rsid w:val="00D541BF"/>
    <w:rsid w:val="00D547C0"/>
    <w:rsid w:val="00D54C65"/>
    <w:rsid w:val="00D56896"/>
    <w:rsid w:val="00D56948"/>
    <w:rsid w:val="00D56D6D"/>
    <w:rsid w:val="00D56DED"/>
    <w:rsid w:val="00D57446"/>
    <w:rsid w:val="00D618D4"/>
    <w:rsid w:val="00D61C12"/>
    <w:rsid w:val="00D61C70"/>
    <w:rsid w:val="00D620BA"/>
    <w:rsid w:val="00D62FC2"/>
    <w:rsid w:val="00D633DB"/>
    <w:rsid w:val="00D63D18"/>
    <w:rsid w:val="00D63D59"/>
    <w:rsid w:val="00D647D0"/>
    <w:rsid w:val="00D64E7D"/>
    <w:rsid w:val="00D6544A"/>
    <w:rsid w:val="00D666BF"/>
    <w:rsid w:val="00D67C7E"/>
    <w:rsid w:val="00D67F19"/>
    <w:rsid w:val="00D703D5"/>
    <w:rsid w:val="00D7296F"/>
    <w:rsid w:val="00D72FDC"/>
    <w:rsid w:val="00D73930"/>
    <w:rsid w:val="00D7397D"/>
    <w:rsid w:val="00D73A31"/>
    <w:rsid w:val="00D74DF1"/>
    <w:rsid w:val="00D75213"/>
    <w:rsid w:val="00D76B70"/>
    <w:rsid w:val="00D773E6"/>
    <w:rsid w:val="00D77678"/>
    <w:rsid w:val="00D80A76"/>
    <w:rsid w:val="00D810B8"/>
    <w:rsid w:val="00D819A5"/>
    <w:rsid w:val="00D81D31"/>
    <w:rsid w:val="00D82A50"/>
    <w:rsid w:val="00D82B81"/>
    <w:rsid w:val="00D83EF6"/>
    <w:rsid w:val="00D84208"/>
    <w:rsid w:val="00D84720"/>
    <w:rsid w:val="00D84C19"/>
    <w:rsid w:val="00D86003"/>
    <w:rsid w:val="00D870E9"/>
    <w:rsid w:val="00D8731E"/>
    <w:rsid w:val="00D9080A"/>
    <w:rsid w:val="00D90815"/>
    <w:rsid w:val="00D90FF3"/>
    <w:rsid w:val="00D926E9"/>
    <w:rsid w:val="00D93BD2"/>
    <w:rsid w:val="00D93C1F"/>
    <w:rsid w:val="00D93CA0"/>
    <w:rsid w:val="00D9628D"/>
    <w:rsid w:val="00DA056C"/>
    <w:rsid w:val="00DA1029"/>
    <w:rsid w:val="00DA10B7"/>
    <w:rsid w:val="00DA1772"/>
    <w:rsid w:val="00DA1E93"/>
    <w:rsid w:val="00DA2C40"/>
    <w:rsid w:val="00DA39B6"/>
    <w:rsid w:val="00DA52F0"/>
    <w:rsid w:val="00DA623C"/>
    <w:rsid w:val="00DB1B49"/>
    <w:rsid w:val="00DB1B59"/>
    <w:rsid w:val="00DB24A1"/>
    <w:rsid w:val="00DB470C"/>
    <w:rsid w:val="00DB476E"/>
    <w:rsid w:val="00DB4827"/>
    <w:rsid w:val="00DB5179"/>
    <w:rsid w:val="00DB523D"/>
    <w:rsid w:val="00DB5900"/>
    <w:rsid w:val="00DB6479"/>
    <w:rsid w:val="00DB74A0"/>
    <w:rsid w:val="00DB7ACD"/>
    <w:rsid w:val="00DB7D09"/>
    <w:rsid w:val="00DC0232"/>
    <w:rsid w:val="00DC08A6"/>
    <w:rsid w:val="00DC0B7A"/>
    <w:rsid w:val="00DC142E"/>
    <w:rsid w:val="00DC175C"/>
    <w:rsid w:val="00DC2E64"/>
    <w:rsid w:val="00DC3048"/>
    <w:rsid w:val="00DC4017"/>
    <w:rsid w:val="00DC4B51"/>
    <w:rsid w:val="00DC5BED"/>
    <w:rsid w:val="00DC6465"/>
    <w:rsid w:val="00DC685D"/>
    <w:rsid w:val="00DC7459"/>
    <w:rsid w:val="00DC794E"/>
    <w:rsid w:val="00DD0256"/>
    <w:rsid w:val="00DD0836"/>
    <w:rsid w:val="00DD0924"/>
    <w:rsid w:val="00DD12F1"/>
    <w:rsid w:val="00DD18B9"/>
    <w:rsid w:val="00DD1CBD"/>
    <w:rsid w:val="00DD6065"/>
    <w:rsid w:val="00DE155D"/>
    <w:rsid w:val="00DE1626"/>
    <w:rsid w:val="00DE24CF"/>
    <w:rsid w:val="00DE4AB2"/>
    <w:rsid w:val="00DE57C2"/>
    <w:rsid w:val="00DE5ABF"/>
    <w:rsid w:val="00DE5FAC"/>
    <w:rsid w:val="00DE66C8"/>
    <w:rsid w:val="00DE750E"/>
    <w:rsid w:val="00DF091B"/>
    <w:rsid w:val="00DF1C4E"/>
    <w:rsid w:val="00DF2551"/>
    <w:rsid w:val="00DF287E"/>
    <w:rsid w:val="00DF2C5E"/>
    <w:rsid w:val="00DF614E"/>
    <w:rsid w:val="00DF66F8"/>
    <w:rsid w:val="00DF6AF7"/>
    <w:rsid w:val="00DF6C53"/>
    <w:rsid w:val="00DF6D5D"/>
    <w:rsid w:val="00DF715B"/>
    <w:rsid w:val="00DF7A8F"/>
    <w:rsid w:val="00E002D5"/>
    <w:rsid w:val="00E00854"/>
    <w:rsid w:val="00E03074"/>
    <w:rsid w:val="00E03075"/>
    <w:rsid w:val="00E03258"/>
    <w:rsid w:val="00E04141"/>
    <w:rsid w:val="00E04684"/>
    <w:rsid w:val="00E066EC"/>
    <w:rsid w:val="00E06775"/>
    <w:rsid w:val="00E06ECE"/>
    <w:rsid w:val="00E06FB4"/>
    <w:rsid w:val="00E07160"/>
    <w:rsid w:val="00E1043D"/>
    <w:rsid w:val="00E1180E"/>
    <w:rsid w:val="00E1187D"/>
    <w:rsid w:val="00E11908"/>
    <w:rsid w:val="00E1213C"/>
    <w:rsid w:val="00E133F4"/>
    <w:rsid w:val="00E14E1A"/>
    <w:rsid w:val="00E1527D"/>
    <w:rsid w:val="00E15A37"/>
    <w:rsid w:val="00E1626E"/>
    <w:rsid w:val="00E1639A"/>
    <w:rsid w:val="00E203B0"/>
    <w:rsid w:val="00E21437"/>
    <w:rsid w:val="00E2184E"/>
    <w:rsid w:val="00E2295C"/>
    <w:rsid w:val="00E22B1E"/>
    <w:rsid w:val="00E22E1A"/>
    <w:rsid w:val="00E23454"/>
    <w:rsid w:val="00E23535"/>
    <w:rsid w:val="00E2377A"/>
    <w:rsid w:val="00E25455"/>
    <w:rsid w:val="00E25DD8"/>
    <w:rsid w:val="00E269DE"/>
    <w:rsid w:val="00E27A57"/>
    <w:rsid w:val="00E304A2"/>
    <w:rsid w:val="00E30B11"/>
    <w:rsid w:val="00E30C59"/>
    <w:rsid w:val="00E30E97"/>
    <w:rsid w:val="00E319ED"/>
    <w:rsid w:val="00E3204D"/>
    <w:rsid w:val="00E32513"/>
    <w:rsid w:val="00E34B7E"/>
    <w:rsid w:val="00E34D9B"/>
    <w:rsid w:val="00E35B56"/>
    <w:rsid w:val="00E36BE8"/>
    <w:rsid w:val="00E36F94"/>
    <w:rsid w:val="00E37060"/>
    <w:rsid w:val="00E372C1"/>
    <w:rsid w:val="00E4046B"/>
    <w:rsid w:val="00E415DF"/>
    <w:rsid w:val="00E41EF0"/>
    <w:rsid w:val="00E42A54"/>
    <w:rsid w:val="00E43D3E"/>
    <w:rsid w:val="00E442D3"/>
    <w:rsid w:val="00E44365"/>
    <w:rsid w:val="00E44F1C"/>
    <w:rsid w:val="00E46799"/>
    <w:rsid w:val="00E506BE"/>
    <w:rsid w:val="00E50705"/>
    <w:rsid w:val="00E50E9E"/>
    <w:rsid w:val="00E51CD5"/>
    <w:rsid w:val="00E51CE6"/>
    <w:rsid w:val="00E5371C"/>
    <w:rsid w:val="00E53A86"/>
    <w:rsid w:val="00E53BAF"/>
    <w:rsid w:val="00E53C41"/>
    <w:rsid w:val="00E53D5A"/>
    <w:rsid w:val="00E55096"/>
    <w:rsid w:val="00E5545E"/>
    <w:rsid w:val="00E573BD"/>
    <w:rsid w:val="00E603A0"/>
    <w:rsid w:val="00E60812"/>
    <w:rsid w:val="00E60BD8"/>
    <w:rsid w:val="00E612E5"/>
    <w:rsid w:val="00E625FE"/>
    <w:rsid w:val="00E62725"/>
    <w:rsid w:val="00E6275C"/>
    <w:rsid w:val="00E62B40"/>
    <w:rsid w:val="00E6452E"/>
    <w:rsid w:val="00E64886"/>
    <w:rsid w:val="00E64DC2"/>
    <w:rsid w:val="00E651FE"/>
    <w:rsid w:val="00E657FE"/>
    <w:rsid w:val="00E65B75"/>
    <w:rsid w:val="00E6647D"/>
    <w:rsid w:val="00E66963"/>
    <w:rsid w:val="00E66F48"/>
    <w:rsid w:val="00E6740E"/>
    <w:rsid w:val="00E679E9"/>
    <w:rsid w:val="00E70D32"/>
    <w:rsid w:val="00E7198A"/>
    <w:rsid w:val="00E730EA"/>
    <w:rsid w:val="00E7310D"/>
    <w:rsid w:val="00E73DAB"/>
    <w:rsid w:val="00E7518D"/>
    <w:rsid w:val="00E7601B"/>
    <w:rsid w:val="00E76078"/>
    <w:rsid w:val="00E76D57"/>
    <w:rsid w:val="00E77211"/>
    <w:rsid w:val="00E7722E"/>
    <w:rsid w:val="00E77B70"/>
    <w:rsid w:val="00E8105C"/>
    <w:rsid w:val="00E811B8"/>
    <w:rsid w:val="00E81236"/>
    <w:rsid w:val="00E81543"/>
    <w:rsid w:val="00E81D57"/>
    <w:rsid w:val="00E81FBC"/>
    <w:rsid w:val="00E82464"/>
    <w:rsid w:val="00E8382E"/>
    <w:rsid w:val="00E85836"/>
    <w:rsid w:val="00E85C9C"/>
    <w:rsid w:val="00E862AE"/>
    <w:rsid w:val="00E870A4"/>
    <w:rsid w:val="00E87BE2"/>
    <w:rsid w:val="00E9155A"/>
    <w:rsid w:val="00E9174B"/>
    <w:rsid w:val="00E92C85"/>
    <w:rsid w:val="00E96750"/>
    <w:rsid w:val="00E972A7"/>
    <w:rsid w:val="00EA03B2"/>
    <w:rsid w:val="00EA0497"/>
    <w:rsid w:val="00EA16D2"/>
    <w:rsid w:val="00EA2E0F"/>
    <w:rsid w:val="00EA3142"/>
    <w:rsid w:val="00EA50E7"/>
    <w:rsid w:val="00EA66F6"/>
    <w:rsid w:val="00EA71CA"/>
    <w:rsid w:val="00EB0049"/>
    <w:rsid w:val="00EB063A"/>
    <w:rsid w:val="00EB193B"/>
    <w:rsid w:val="00EB1B24"/>
    <w:rsid w:val="00EB1D45"/>
    <w:rsid w:val="00EB2251"/>
    <w:rsid w:val="00EB23A8"/>
    <w:rsid w:val="00EB2583"/>
    <w:rsid w:val="00EB31EE"/>
    <w:rsid w:val="00EB3878"/>
    <w:rsid w:val="00EB3C30"/>
    <w:rsid w:val="00EB42EF"/>
    <w:rsid w:val="00EB44FA"/>
    <w:rsid w:val="00EB4618"/>
    <w:rsid w:val="00EB4780"/>
    <w:rsid w:val="00EB4D8F"/>
    <w:rsid w:val="00EB522E"/>
    <w:rsid w:val="00EB543E"/>
    <w:rsid w:val="00EB5C5A"/>
    <w:rsid w:val="00EC049F"/>
    <w:rsid w:val="00EC0A27"/>
    <w:rsid w:val="00EC0F1E"/>
    <w:rsid w:val="00EC289E"/>
    <w:rsid w:val="00EC393C"/>
    <w:rsid w:val="00EC3D41"/>
    <w:rsid w:val="00EC5140"/>
    <w:rsid w:val="00EC5979"/>
    <w:rsid w:val="00EC7A9A"/>
    <w:rsid w:val="00ED021B"/>
    <w:rsid w:val="00ED0CDA"/>
    <w:rsid w:val="00ED19B0"/>
    <w:rsid w:val="00ED2128"/>
    <w:rsid w:val="00ED2AFB"/>
    <w:rsid w:val="00ED2B34"/>
    <w:rsid w:val="00ED3351"/>
    <w:rsid w:val="00ED3581"/>
    <w:rsid w:val="00ED3735"/>
    <w:rsid w:val="00ED49EE"/>
    <w:rsid w:val="00ED5B35"/>
    <w:rsid w:val="00ED5BD3"/>
    <w:rsid w:val="00ED715E"/>
    <w:rsid w:val="00ED7847"/>
    <w:rsid w:val="00ED7869"/>
    <w:rsid w:val="00ED7E9C"/>
    <w:rsid w:val="00EE0B90"/>
    <w:rsid w:val="00EE0F37"/>
    <w:rsid w:val="00EE24C5"/>
    <w:rsid w:val="00EE2DC0"/>
    <w:rsid w:val="00EE3814"/>
    <w:rsid w:val="00EE44CA"/>
    <w:rsid w:val="00EE5B99"/>
    <w:rsid w:val="00EE5DDC"/>
    <w:rsid w:val="00EE6AD3"/>
    <w:rsid w:val="00EE6B08"/>
    <w:rsid w:val="00EF05CE"/>
    <w:rsid w:val="00EF1435"/>
    <w:rsid w:val="00EF1F0E"/>
    <w:rsid w:val="00EF3D85"/>
    <w:rsid w:val="00EF4AA8"/>
    <w:rsid w:val="00EF5178"/>
    <w:rsid w:val="00EF610C"/>
    <w:rsid w:val="00EF62C2"/>
    <w:rsid w:val="00EF636D"/>
    <w:rsid w:val="00EF670E"/>
    <w:rsid w:val="00EF76D9"/>
    <w:rsid w:val="00EF7CFD"/>
    <w:rsid w:val="00F02647"/>
    <w:rsid w:val="00F026EE"/>
    <w:rsid w:val="00F02928"/>
    <w:rsid w:val="00F03DB5"/>
    <w:rsid w:val="00F06F64"/>
    <w:rsid w:val="00F10002"/>
    <w:rsid w:val="00F10246"/>
    <w:rsid w:val="00F10B70"/>
    <w:rsid w:val="00F11571"/>
    <w:rsid w:val="00F16275"/>
    <w:rsid w:val="00F16F3D"/>
    <w:rsid w:val="00F202A1"/>
    <w:rsid w:val="00F2087E"/>
    <w:rsid w:val="00F2287A"/>
    <w:rsid w:val="00F22C3D"/>
    <w:rsid w:val="00F22FC7"/>
    <w:rsid w:val="00F25249"/>
    <w:rsid w:val="00F266B2"/>
    <w:rsid w:val="00F266C8"/>
    <w:rsid w:val="00F26ADE"/>
    <w:rsid w:val="00F27A8D"/>
    <w:rsid w:val="00F27F8E"/>
    <w:rsid w:val="00F304C4"/>
    <w:rsid w:val="00F311F2"/>
    <w:rsid w:val="00F31266"/>
    <w:rsid w:val="00F32885"/>
    <w:rsid w:val="00F3291D"/>
    <w:rsid w:val="00F3375F"/>
    <w:rsid w:val="00F35E9E"/>
    <w:rsid w:val="00F35FC6"/>
    <w:rsid w:val="00F360C3"/>
    <w:rsid w:val="00F36AC1"/>
    <w:rsid w:val="00F36C6E"/>
    <w:rsid w:val="00F37E3E"/>
    <w:rsid w:val="00F37FED"/>
    <w:rsid w:val="00F404E2"/>
    <w:rsid w:val="00F40ACB"/>
    <w:rsid w:val="00F41151"/>
    <w:rsid w:val="00F412C5"/>
    <w:rsid w:val="00F41C8D"/>
    <w:rsid w:val="00F421DF"/>
    <w:rsid w:val="00F424E4"/>
    <w:rsid w:val="00F42F6B"/>
    <w:rsid w:val="00F4301D"/>
    <w:rsid w:val="00F430D6"/>
    <w:rsid w:val="00F4331C"/>
    <w:rsid w:val="00F43AB1"/>
    <w:rsid w:val="00F44157"/>
    <w:rsid w:val="00F44AC1"/>
    <w:rsid w:val="00F46179"/>
    <w:rsid w:val="00F4750A"/>
    <w:rsid w:val="00F47607"/>
    <w:rsid w:val="00F47706"/>
    <w:rsid w:val="00F47981"/>
    <w:rsid w:val="00F47E3B"/>
    <w:rsid w:val="00F50FE9"/>
    <w:rsid w:val="00F5315C"/>
    <w:rsid w:val="00F5386E"/>
    <w:rsid w:val="00F53DD9"/>
    <w:rsid w:val="00F54BF3"/>
    <w:rsid w:val="00F55A87"/>
    <w:rsid w:val="00F563C4"/>
    <w:rsid w:val="00F603C2"/>
    <w:rsid w:val="00F60728"/>
    <w:rsid w:val="00F60A2F"/>
    <w:rsid w:val="00F6194E"/>
    <w:rsid w:val="00F62178"/>
    <w:rsid w:val="00F62999"/>
    <w:rsid w:val="00F644E4"/>
    <w:rsid w:val="00F65BC8"/>
    <w:rsid w:val="00F65F97"/>
    <w:rsid w:val="00F66B35"/>
    <w:rsid w:val="00F66DD0"/>
    <w:rsid w:val="00F6701A"/>
    <w:rsid w:val="00F700E6"/>
    <w:rsid w:val="00F706CD"/>
    <w:rsid w:val="00F71465"/>
    <w:rsid w:val="00F72715"/>
    <w:rsid w:val="00F736D2"/>
    <w:rsid w:val="00F740F5"/>
    <w:rsid w:val="00F74262"/>
    <w:rsid w:val="00F744EB"/>
    <w:rsid w:val="00F746A6"/>
    <w:rsid w:val="00F75C96"/>
    <w:rsid w:val="00F76496"/>
    <w:rsid w:val="00F76AED"/>
    <w:rsid w:val="00F76E1E"/>
    <w:rsid w:val="00F77152"/>
    <w:rsid w:val="00F771DE"/>
    <w:rsid w:val="00F773B9"/>
    <w:rsid w:val="00F8012D"/>
    <w:rsid w:val="00F8048B"/>
    <w:rsid w:val="00F8075B"/>
    <w:rsid w:val="00F8090C"/>
    <w:rsid w:val="00F8191F"/>
    <w:rsid w:val="00F83056"/>
    <w:rsid w:val="00F833C4"/>
    <w:rsid w:val="00F839B2"/>
    <w:rsid w:val="00F8609E"/>
    <w:rsid w:val="00F8637D"/>
    <w:rsid w:val="00F87EB7"/>
    <w:rsid w:val="00F90C57"/>
    <w:rsid w:val="00F9272A"/>
    <w:rsid w:val="00F9387B"/>
    <w:rsid w:val="00F942A0"/>
    <w:rsid w:val="00F94727"/>
    <w:rsid w:val="00F964EC"/>
    <w:rsid w:val="00FA07B9"/>
    <w:rsid w:val="00FA17AC"/>
    <w:rsid w:val="00FA3806"/>
    <w:rsid w:val="00FA3A60"/>
    <w:rsid w:val="00FA3E0F"/>
    <w:rsid w:val="00FA4619"/>
    <w:rsid w:val="00FA48E4"/>
    <w:rsid w:val="00FA4E3B"/>
    <w:rsid w:val="00FB01BF"/>
    <w:rsid w:val="00FB096F"/>
    <w:rsid w:val="00FB2106"/>
    <w:rsid w:val="00FB2369"/>
    <w:rsid w:val="00FB3197"/>
    <w:rsid w:val="00FB4355"/>
    <w:rsid w:val="00FB547B"/>
    <w:rsid w:val="00FB54B2"/>
    <w:rsid w:val="00FB651A"/>
    <w:rsid w:val="00FB7E20"/>
    <w:rsid w:val="00FC1752"/>
    <w:rsid w:val="00FC2710"/>
    <w:rsid w:val="00FC3308"/>
    <w:rsid w:val="00FC3E8B"/>
    <w:rsid w:val="00FC4B2F"/>
    <w:rsid w:val="00FC53CE"/>
    <w:rsid w:val="00FC7215"/>
    <w:rsid w:val="00FC7939"/>
    <w:rsid w:val="00FD015D"/>
    <w:rsid w:val="00FD10F1"/>
    <w:rsid w:val="00FD1268"/>
    <w:rsid w:val="00FD1AC8"/>
    <w:rsid w:val="00FD29F1"/>
    <w:rsid w:val="00FD315C"/>
    <w:rsid w:val="00FD43F5"/>
    <w:rsid w:val="00FD44AD"/>
    <w:rsid w:val="00FD4505"/>
    <w:rsid w:val="00FD6244"/>
    <w:rsid w:val="00FD6599"/>
    <w:rsid w:val="00FD6789"/>
    <w:rsid w:val="00FD6D94"/>
    <w:rsid w:val="00FD7051"/>
    <w:rsid w:val="00FD7307"/>
    <w:rsid w:val="00FD73D8"/>
    <w:rsid w:val="00FD7F86"/>
    <w:rsid w:val="00FE0BBD"/>
    <w:rsid w:val="00FE1908"/>
    <w:rsid w:val="00FE21C3"/>
    <w:rsid w:val="00FE26CA"/>
    <w:rsid w:val="00FE340C"/>
    <w:rsid w:val="00FE3873"/>
    <w:rsid w:val="00FE41E0"/>
    <w:rsid w:val="00FE5141"/>
    <w:rsid w:val="00FE6409"/>
    <w:rsid w:val="00FE7608"/>
    <w:rsid w:val="00FE7E2F"/>
    <w:rsid w:val="00FF01E2"/>
    <w:rsid w:val="00FF0521"/>
    <w:rsid w:val="00FF06F4"/>
    <w:rsid w:val="00FF41CB"/>
    <w:rsid w:val="00FF4A74"/>
    <w:rsid w:val="00FF4D84"/>
    <w:rsid w:val="00FF5401"/>
    <w:rsid w:val="00FF5544"/>
    <w:rsid w:val="00FF7A59"/>
    <w:rsid w:val="01735583"/>
    <w:rsid w:val="01871078"/>
    <w:rsid w:val="01F95D8B"/>
    <w:rsid w:val="04401AFC"/>
    <w:rsid w:val="0C334821"/>
    <w:rsid w:val="0D5249A7"/>
    <w:rsid w:val="0DCB6F2E"/>
    <w:rsid w:val="0E711E47"/>
    <w:rsid w:val="0F83362D"/>
    <w:rsid w:val="11594615"/>
    <w:rsid w:val="116404DC"/>
    <w:rsid w:val="13070843"/>
    <w:rsid w:val="136F6438"/>
    <w:rsid w:val="137837D5"/>
    <w:rsid w:val="141B4D4C"/>
    <w:rsid w:val="156A270A"/>
    <w:rsid w:val="17EC3853"/>
    <w:rsid w:val="17F647E0"/>
    <w:rsid w:val="193121E2"/>
    <w:rsid w:val="1A6C6D39"/>
    <w:rsid w:val="1B8D3F8E"/>
    <w:rsid w:val="1DBB1753"/>
    <w:rsid w:val="1E1C4650"/>
    <w:rsid w:val="23080383"/>
    <w:rsid w:val="236C3584"/>
    <w:rsid w:val="24710E73"/>
    <w:rsid w:val="269E26B5"/>
    <w:rsid w:val="2C831E53"/>
    <w:rsid w:val="2C9E4C21"/>
    <w:rsid w:val="2E03142A"/>
    <w:rsid w:val="311150B7"/>
    <w:rsid w:val="311856DC"/>
    <w:rsid w:val="31B07D57"/>
    <w:rsid w:val="3297188F"/>
    <w:rsid w:val="32BF0FD6"/>
    <w:rsid w:val="352E0408"/>
    <w:rsid w:val="3B2C60A6"/>
    <w:rsid w:val="3B8729FC"/>
    <w:rsid w:val="3CC05F20"/>
    <w:rsid w:val="41EE6EED"/>
    <w:rsid w:val="434E4DE1"/>
    <w:rsid w:val="45CC5C97"/>
    <w:rsid w:val="46156B51"/>
    <w:rsid w:val="467F119C"/>
    <w:rsid w:val="469B62BB"/>
    <w:rsid w:val="472405E9"/>
    <w:rsid w:val="48BD5AB4"/>
    <w:rsid w:val="4A443E36"/>
    <w:rsid w:val="4A94295A"/>
    <w:rsid w:val="4DA063F7"/>
    <w:rsid w:val="4E1C00A3"/>
    <w:rsid w:val="4FE60C8C"/>
    <w:rsid w:val="51C974FB"/>
    <w:rsid w:val="52807619"/>
    <w:rsid w:val="52B13F08"/>
    <w:rsid w:val="576A2A02"/>
    <w:rsid w:val="5B647018"/>
    <w:rsid w:val="625840EE"/>
    <w:rsid w:val="62ED277D"/>
    <w:rsid w:val="67D40A9E"/>
    <w:rsid w:val="68665541"/>
    <w:rsid w:val="68C47801"/>
    <w:rsid w:val="697048B4"/>
    <w:rsid w:val="6C412233"/>
    <w:rsid w:val="701747D7"/>
    <w:rsid w:val="718D3C9B"/>
    <w:rsid w:val="74550D9F"/>
    <w:rsid w:val="747C5816"/>
    <w:rsid w:val="75825894"/>
    <w:rsid w:val="76F1589A"/>
    <w:rsid w:val="78754DF0"/>
    <w:rsid w:val="79942550"/>
    <w:rsid w:val="7C2A2056"/>
    <w:rsid w:val="7D040EDC"/>
    <w:rsid w:val="7E52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nhideWhenUsed="0" w:uiPriority="0" w:name="table of authorities"/>
    <w:lsdException w:uiPriority="0" w:name="macro"/>
    <w:lsdException w:qFormat="1" w:unhideWhenUsed="0" w:uiPriority="0" w:semiHidden="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43"/>
    <w:autoRedefine/>
    <w:qFormat/>
    <w:uiPriority w:val="9"/>
    <w:pPr>
      <w:keepNext/>
      <w:keepLines/>
      <w:pageBreakBefore/>
      <w:spacing w:line="800" w:lineRule="exact"/>
      <w:ind w:firstLine="0" w:firstLineChars="0"/>
      <w:jc w:val="center"/>
      <w:outlineLvl w:val="0"/>
    </w:pPr>
    <w:rPr>
      <w:rFonts w:eastAsia="黑体"/>
      <w:b/>
      <w:bCs/>
      <w:kern w:val="44"/>
      <w:sz w:val="36"/>
      <w:szCs w:val="44"/>
      <w:lang w:val="zh-CN"/>
    </w:rPr>
  </w:style>
  <w:style w:type="paragraph" w:styleId="5">
    <w:name w:val="heading 2"/>
    <w:basedOn w:val="1"/>
    <w:next w:val="1"/>
    <w:link w:val="44"/>
    <w:autoRedefine/>
    <w:unhideWhenUsed/>
    <w:qFormat/>
    <w:uiPriority w:val="9"/>
    <w:pPr>
      <w:keepNext/>
      <w:keepLines/>
      <w:spacing w:line="700" w:lineRule="exact"/>
      <w:ind w:firstLine="0" w:firstLineChars="0"/>
      <w:jc w:val="center"/>
      <w:outlineLvl w:val="1"/>
    </w:pPr>
    <w:rPr>
      <w:rFonts w:ascii="方正黑体_GBK" w:eastAsia="方正黑体_GBK"/>
      <w:bCs/>
      <w:sz w:val="30"/>
      <w:szCs w:val="30"/>
      <w:lang w:val="zh-CN"/>
    </w:rPr>
  </w:style>
  <w:style w:type="paragraph" w:styleId="6">
    <w:name w:val="heading 3"/>
    <w:basedOn w:val="1"/>
    <w:next w:val="1"/>
    <w:link w:val="45"/>
    <w:autoRedefine/>
    <w:qFormat/>
    <w:uiPriority w:val="9"/>
    <w:pPr>
      <w:spacing w:line="560" w:lineRule="exact"/>
      <w:ind w:firstLine="0" w:firstLineChars="0"/>
      <w:jc w:val="left"/>
      <w:outlineLvl w:val="2"/>
    </w:pPr>
    <w:rPr>
      <w:rFonts w:ascii="方正黑体_GBK" w:hAnsi="黑体" w:eastAsia="方正黑体_GBK"/>
      <w:kern w:val="0"/>
      <w:sz w:val="30"/>
      <w:szCs w:val="30"/>
    </w:rPr>
  </w:style>
  <w:style w:type="paragraph" w:styleId="7">
    <w:name w:val="heading 4"/>
    <w:basedOn w:val="8"/>
    <w:next w:val="1"/>
    <w:link w:val="47"/>
    <w:autoRedefine/>
    <w:unhideWhenUsed/>
    <w:qFormat/>
    <w:uiPriority w:val="0"/>
    <w:pPr>
      <w:ind w:left="200" w:leftChars="200" w:firstLine="200"/>
      <w:outlineLvl w:val="3"/>
    </w:pPr>
    <w:rPr>
      <w:color w:val="000000" w:themeColor="text1"/>
      <w14:textFill>
        <w14:solidFill>
          <w14:schemeClr w14:val="tx1"/>
        </w14:solidFill>
      </w14:textFill>
    </w:rPr>
  </w:style>
  <w:style w:type="paragraph" w:styleId="9">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10">
    <w:name w:val="heading 6"/>
    <w:basedOn w:val="6"/>
    <w:next w:val="1"/>
    <w:link w:val="49"/>
    <w:autoRedefine/>
    <w:unhideWhenUsed/>
    <w:qFormat/>
    <w:uiPriority w:val="0"/>
    <w:pPr>
      <w:outlineLvl w:val="5"/>
    </w:pPr>
  </w:style>
  <w:style w:type="paragraph" w:styleId="8">
    <w:name w:val="heading 7"/>
    <w:basedOn w:val="1"/>
    <w:next w:val="1"/>
    <w:link w:val="46"/>
    <w:autoRedefine/>
    <w:unhideWhenUsed/>
    <w:qFormat/>
    <w:uiPriority w:val="0"/>
    <w:pPr>
      <w:ind w:firstLine="640"/>
      <w:outlineLvl w:val="6"/>
    </w:pPr>
    <w:rPr>
      <w:bCs/>
    </w:rPr>
  </w:style>
  <w:style w:type="paragraph" w:styleId="11">
    <w:name w:val="heading 8"/>
    <w:basedOn w:val="1"/>
    <w:next w:val="1"/>
    <w:link w:val="50"/>
    <w:autoRedefine/>
    <w:unhideWhenUsed/>
    <w:qFormat/>
    <w:uiPriority w:val="0"/>
    <w:pPr>
      <w:widowControl/>
      <w:adjustRightInd/>
      <w:snapToGrid/>
      <w:spacing w:line="440" w:lineRule="exact"/>
      <w:ind w:firstLine="0" w:firstLineChars="0"/>
      <w:jc w:val="center"/>
      <w:outlineLvl w:val="7"/>
    </w:pPr>
    <w:rPr>
      <w:rFonts w:ascii="方正黑体_GBK" w:eastAsia="方正黑体_GBK"/>
      <w:kern w:val="0"/>
      <w:sz w:val="28"/>
      <w:szCs w:val="28"/>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autoRedefine/>
    <w:qFormat/>
    <w:uiPriority w:val="0"/>
    <w:pPr>
      <w:ind w:firstLine="0" w:firstLineChars="0"/>
      <w:jc w:val="left"/>
    </w:pPr>
    <w:rPr>
      <w:rFonts w:ascii="仿宋_GB2312"/>
      <w:kern w:val="0"/>
      <w:sz w:val="24"/>
      <w:szCs w:val="24"/>
      <w:lang w:eastAsia="en-US"/>
    </w:rPr>
  </w:style>
  <w:style w:type="paragraph" w:styleId="3">
    <w:name w:val="toc 5"/>
    <w:basedOn w:val="1"/>
    <w:next w:val="1"/>
    <w:autoRedefine/>
    <w:unhideWhenUsed/>
    <w:qFormat/>
    <w:uiPriority w:val="39"/>
    <w:pPr>
      <w:ind w:left="1280"/>
      <w:jc w:val="left"/>
    </w:pPr>
    <w:rPr>
      <w:rFonts w:asciiTheme="minorHAnsi" w:hAnsiTheme="minorHAnsi" w:cstheme="minorHAnsi"/>
      <w:sz w:val="20"/>
      <w:szCs w:val="20"/>
    </w:rPr>
  </w:style>
  <w:style w:type="paragraph" w:styleId="12">
    <w:name w:val="toc 7"/>
    <w:basedOn w:val="1"/>
    <w:next w:val="1"/>
    <w:autoRedefine/>
    <w:unhideWhenUsed/>
    <w:qFormat/>
    <w:uiPriority w:val="39"/>
    <w:pPr>
      <w:ind w:left="1920"/>
      <w:jc w:val="left"/>
    </w:pPr>
    <w:rPr>
      <w:rFonts w:asciiTheme="minorHAnsi" w:hAnsiTheme="minorHAnsi" w:cstheme="minorHAnsi"/>
      <w:sz w:val="20"/>
      <w:szCs w:val="20"/>
    </w:rPr>
  </w:style>
  <w:style w:type="paragraph" w:styleId="13">
    <w:name w:val="Normal Indent"/>
    <w:basedOn w:val="1"/>
    <w:next w:val="1"/>
    <w:autoRedefine/>
    <w:unhideWhenUsed/>
    <w:qFormat/>
    <w:uiPriority w:val="99"/>
    <w:pPr>
      <w:spacing w:line="560" w:lineRule="exact"/>
      <w:ind w:firstLine="556"/>
    </w:pPr>
    <w:rPr>
      <w:rFonts w:hAnsi="仿宋_GB2312" w:eastAsia="方正仿宋_GBK"/>
      <w:kern w:val="0"/>
      <w:szCs w:val="20"/>
    </w:rPr>
  </w:style>
  <w:style w:type="paragraph" w:styleId="14">
    <w:name w:val="toa heading"/>
    <w:basedOn w:val="1"/>
    <w:next w:val="1"/>
    <w:autoRedefine/>
    <w:qFormat/>
    <w:uiPriority w:val="0"/>
    <w:pPr>
      <w:spacing w:before="120"/>
    </w:pPr>
    <w:rPr>
      <w:rFonts w:eastAsia="宋体" w:asciiTheme="majorHAnsi" w:hAnsiTheme="majorHAnsi" w:cstheme="majorBidi"/>
      <w:sz w:val="24"/>
    </w:rPr>
  </w:style>
  <w:style w:type="paragraph" w:styleId="15">
    <w:name w:val="annotation text"/>
    <w:basedOn w:val="1"/>
    <w:link w:val="112"/>
    <w:autoRedefine/>
    <w:unhideWhenUsed/>
    <w:qFormat/>
    <w:uiPriority w:val="0"/>
    <w:pPr>
      <w:jc w:val="left"/>
    </w:pPr>
  </w:style>
  <w:style w:type="paragraph" w:styleId="16">
    <w:name w:val="toc 3"/>
    <w:basedOn w:val="1"/>
    <w:next w:val="1"/>
    <w:qFormat/>
    <w:uiPriority w:val="39"/>
    <w:pPr>
      <w:ind w:left="640"/>
      <w:jc w:val="left"/>
    </w:pPr>
    <w:rPr>
      <w:rFonts w:asciiTheme="minorHAnsi" w:hAnsiTheme="minorHAnsi" w:cstheme="minorHAnsi"/>
      <w:sz w:val="20"/>
      <w:szCs w:val="20"/>
    </w:rPr>
  </w:style>
  <w:style w:type="paragraph" w:styleId="17">
    <w:name w:val="toc 8"/>
    <w:basedOn w:val="1"/>
    <w:next w:val="1"/>
    <w:autoRedefine/>
    <w:unhideWhenUsed/>
    <w:qFormat/>
    <w:uiPriority w:val="39"/>
    <w:pPr>
      <w:ind w:left="2240"/>
      <w:jc w:val="left"/>
    </w:pPr>
    <w:rPr>
      <w:rFonts w:asciiTheme="minorHAnsi" w:hAnsiTheme="minorHAnsi" w:cstheme="minorHAnsi"/>
      <w:sz w:val="20"/>
      <w:szCs w:val="20"/>
    </w:rPr>
  </w:style>
  <w:style w:type="paragraph" w:styleId="18">
    <w:name w:val="endnote text"/>
    <w:basedOn w:val="1"/>
    <w:link w:val="114"/>
    <w:autoRedefine/>
    <w:semiHidden/>
    <w:unhideWhenUsed/>
    <w:qFormat/>
    <w:uiPriority w:val="0"/>
    <w:pPr>
      <w:jc w:val="left"/>
    </w:pPr>
  </w:style>
  <w:style w:type="paragraph" w:styleId="19">
    <w:name w:val="Balloon Text"/>
    <w:basedOn w:val="1"/>
    <w:link w:val="51"/>
    <w:qFormat/>
    <w:uiPriority w:val="99"/>
    <w:rPr>
      <w:sz w:val="18"/>
      <w:szCs w:val="18"/>
    </w:rPr>
  </w:style>
  <w:style w:type="paragraph" w:styleId="20">
    <w:name w:val="footer"/>
    <w:basedOn w:val="1"/>
    <w:link w:val="52"/>
    <w:autoRedefine/>
    <w:qFormat/>
    <w:uiPriority w:val="99"/>
    <w:pPr>
      <w:tabs>
        <w:tab w:val="center" w:pos="4153"/>
        <w:tab w:val="right" w:pos="8306"/>
      </w:tabs>
      <w:jc w:val="left"/>
    </w:pPr>
    <w:rPr>
      <w:sz w:val="18"/>
      <w:szCs w:val="18"/>
    </w:rPr>
  </w:style>
  <w:style w:type="paragraph" w:styleId="21">
    <w:name w:val="header"/>
    <w:basedOn w:val="1"/>
    <w:link w:val="53"/>
    <w:autoRedefine/>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autoRedefine/>
    <w:qFormat/>
    <w:uiPriority w:val="39"/>
    <w:pPr>
      <w:spacing w:before="120"/>
      <w:jc w:val="left"/>
    </w:pPr>
    <w:rPr>
      <w:rFonts w:asciiTheme="minorHAnsi" w:hAnsiTheme="minorHAnsi" w:cstheme="minorHAnsi"/>
      <w:b/>
      <w:bCs/>
      <w:i/>
      <w:iCs/>
      <w:sz w:val="24"/>
      <w:szCs w:val="24"/>
    </w:rPr>
  </w:style>
  <w:style w:type="paragraph" w:styleId="23">
    <w:name w:val="toc 4"/>
    <w:basedOn w:val="1"/>
    <w:next w:val="1"/>
    <w:autoRedefine/>
    <w:unhideWhenUsed/>
    <w:qFormat/>
    <w:uiPriority w:val="39"/>
    <w:pPr>
      <w:ind w:left="960"/>
      <w:jc w:val="left"/>
    </w:pPr>
    <w:rPr>
      <w:rFonts w:asciiTheme="minorHAnsi" w:hAnsiTheme="minorHAnsi" w:cstheme="minorHAnsi"/>
      <w:sz w:val="20"/>
      <w:szCs w:val="20"/>
    </w:rPr>
  </w:style>
  <w:style w:type="paragraph" w:styleId="24">
    <w:name w:val="Subtitle"/>
    <w:basedOn w:val="1"/>
    <w:next w:val="1"/>
    <w:link w:val="54"/>
    <w:autoRedefine/>
    <w:qFormat/>
    <w:uiPriority w:val="0"/>
    <w:pPr>
      <w:spacing w:before="240" w:after="60" w:line="312" w:lineRule="atLeast"/>
      <w:jc w:val="center"/>
      <w:outlineLvl w:val="1"/>
    </w:pPr>
    <w:rPr>
      <w:rFonts w:eastAsia="宋体" w:asciiTheme="majorHAnsi" w:hAnsiTheme="majorHAnsi" w:cstheme="majorBidi"/>
      <w:b/>
      <w:bCs/>
      <w:kern w:val="28"/>
    </w:rPr>
  </w:style>
  <w:style w:type="paragraph" w:styleId="25">
    <w:name w:val="footnote text"/>
    <w:basedOn w:val="1"/>
    <w:semiHidden/>
    <w:unhideWhenUsed/>
    <w:qFormat/>
    <w:uiPriority w:val="0"/>
    <w:pPr>
      <w:jc w:val="left"/>
    </w:pPr>
    <w:rPr>
      <w:sz w:val="18"/>
    </w:rPr>
  </w:style>
  <w:style w:type="paragraph" w:styleId="26">
    <w:name w:val="toc 6"/>
    <w:basedOn w:val="1"/>
    <w:next w:val="1"/>
    <w:autoRedefine/>
    <w:unhideWhenUsed/>
    <w:qFormat/>
    <w:uiPriority w:val="39"/>
    <w:pPr>
      <w:ind w:left="1600"/>
      <w:jc w:val="left"/>
    </w:pPr>
    <w:rPr>
      <w:rFonts w:asciiTheme="minorHAnsi" w:hAnsiTheme="minorHAnsi" w:cstheme="minorHAnsi"/>
      <w:sz w:val="20"/>
      <w:szCs w:val="20"/>
    </w:rPr>
  </w:style>
  <w:style w:type="paragraph" w:styleId="27">
    <w:name w:val="toc 2"/>
    <w:basedOn w:val="1"/>
    <w:next w:val="1"/>
    <w:autoRedefine/>
    <w:qFormat/>
    <w:uiPriority w:val="39"/>
    <w:pPr>
      <w:tabs>
        <w:tab w:val="right" w:leader="middleDot" w:pos="8608"/>
      </w:tabs>
      <w:spacing w:before="120" w:line="240" w:lineRule="auto"/>
      <w:ind w:firstLine="0" w:firstLineChars="0"/>
      <w:jc w:val="left"/>
    </w:pPr>
    <w:rPr>
      <w:rFonts w:asciiTheme="minorHAnsi" w:hAnsiTheme="minorHAnsi" w:cstheme="minorHAnsi"/>
      <w:b/>
      <w:bCs/>
      <w:sz w:val="22"/>
      <w:szCs w:val="22"/>
    </w:rPr>
  </w:style>
  <w:style w:type="paragraph" w:styleId="28">
    <w:name w:val="toc 9"/>
    <w:basedOn w:val="1"/>
    <w:next w:val="1"/>
    <w:autoRedefine/>
    <w:unhideWhenUsed/>
    <w:qFormat/>
    <w:uiPriority w:val="39"/>
    <w:pPr>
      <w:ind w:left="2560"/>
      <w:jc w:val="left"/>
    </w:pPr>
    <w:rPr>
      <w:rFonts w:asciiTheme="minorHAnsi" w:hAnsiTheme="minorHAnsi" w:cstheme="minorHAnsi"/>
      <w:sz w:val="20"/>
      <w:szCs w:val="20"/>
    </w:rPr>
  </w:style>
  <w:style w:type="paragraph" w:styleId="29">
    <w:name w:val="Normal (Web)"/>
    <w:basedOn w:val="1"/>
    <w:autoRedefine/>
    <w:qFormat/>
    <w:uiPriority w:val="99"/>
    <w:pPr>
      <w:spacing w:beforeAutospacing="1" w:afterAutospacing="1" w:line="240" w:lineRule="auto"/>
      <w:ind w:firstLine="0" w:firstLineChars="0"/>
      <w:jc w:val="left"/>
    </w:pPr>
    <w:rPr>
      <w:rFonts w:eastAsiaTheme="minorEastAsia"/>
      <w:kern w:val="0"/>
      <w:sz w:val="24"/>
    </w:rPr>
  </w:style>
  <w:style w:type="paragraph" w:styleId="30">
    <w:name w:val="Title"/>
    <w:basedOn w:val="1"/>
    <w:next w:val="1"/>
    <w:link w:val="55"/>
    <w:qFormat/>
    <w:uiPriority w:val="10"/>
    <w:pPr>
      <w:spacing w:before="240" w:after="60" w:line="400" w:lineRule="exact"/>
      <w:jc w:val="center"/>
      <w:outlineLvl w:val="0"/>
    </w:pPr>
    <w:rPr>
      <w:rFonts w:ascii="等线 Light" w:hAnsi="等线 Light" w:eastAsia="宋体"/>
      <w:b/>
      <w:bCs/>
    </w:rPr>
  </w:style>
  <w:style w:type="paragraph" w:styleId="31">
    <w:name w:val="annotation subject"/>
    <w:basedOn w:val="15"/>
    <w:next w:val="15"/>
    <w:link w:val="113"/>
    <w:semiHidden/>
    <w:unhideWhenUsed/>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sz w:val="22"/>
      <w:szCs w:val="22"/>
    </w:rPr>
  </w:style>
  <w:style w:type="character" w:styleId="36">
    <w:name w:val="endnote reference"/>
    <w:basedOn w:val="34"/>
    <w:autoRedefine/>
    <w:semiHidden/>
    <w:unhideWhenUsed/>
    <w:qFormat/>
    <w:uiPriority w:val="0"/>
    <w:rPr>
      <w:vertAlign w:val="superscript"/>
    </w:rPr>
  </w:style>
  <w:style w:type="character" w:styleId="37">
    <w:name w:val="FollowedHyperlink"/>
    <w:basedOn w:val="34"/>
    <w:autoRedefine/>
    <w:semiHidden/>
    <w:unhideWhenUsed/>
    <w:qFormat/>
    <w:uiPriority w:val="99"/>
    <w:rPr>
      <w:color w:val="800080"/>
      <w:u w:val="single"/>
    </w:rPr>
  </w:style>
  <w:style w:type="character" w:styleId="38">
    <w:name w:val="Emphasis"/>
    <w:basedOn w:val="34"/>
    <w:autoRedefine/>
    <w:qFormat/>
    <w:uiPriority w:val="0"/>
    <w:rPr>
      <w:i/>
      <w:iCs/>
    </w:rPr>
  </w:style>
  <w:style w:type="character" w:styleId="39">
    <w:name w:val="Hyperlink"/>
    <w:basedOn w:val="34"/>
    <w:autoRedefine/>
    <w:unhideWhenUsed/>
    <w:qFormat/>
    <w:uiPriority w:val="99"/>
    <w:rPr>
      <w:color w:val="0563C1" w:themeColor="hyperlink"/>
      <w:u w:val="single"/>
      <w14:textFill>
        <w14:solidFill>
          <w14:schemeClr w14:val="hlink"/>
        </w14:solidFill>
      </w14:textFill>
    </w:rPr>
  </w:style>
  <w:style w:type="character" w:styleId="40">
    <w:name w:val="annotation reference"/>
    <w:basedOn w:val="34"/>
    <w:autoRedefine/>
    <w:semiHidden/>
    <w:unhideWhenUsed/>
    <w:qFormat/>
    <w:uiPriority w:val="0"/>
    <w:rPr>
      <w:sz w:val="21"/>
      <w:szCs w:val="21"/>
    </w:rPr>
  </w:style>
  <w:style w:type="character" w:styleId="41">
    <w:name w:val="footnote reference"/>
    <w:basedOn w:val="34"/>
    <w:semiHidden/>
    <w:unhideWhenUsed/>
    <w:qFormat/>
    <w:uiPriority w:val="0"/>
    <w:rPr>
      <w:vertAlign w:val="superscript"/>
    </w:rPr>
  </w:style>
  <w:style w:type="character" w:customStyle="1" w:styleId="42">
    <w:name w:val="正文文本 Char"/>
    <w:basedOn w:val="34"/>
    <w:link w:val="2"/>
    <w:autoRedefine/>
    <w:qFormat/>
    <w:uiPriority w:val="99"/>
    <w:rPr>
      <w:rFonts w:ascii="仿宋_GB2312" w:eastAsia="仿宋_GB2312"/>
      <w:sz w:val="24"/>
      <w:szCs w:val="24"/>
      <w:lang w:eastAsia="en-US"/>
    </w:rPr>
  </w:style>
  <w:style w:type="character" w:customStyle="1" w:styleId="43">
    <w:name w:val="标题 1 Char"/>
    <w:basedOn w:val="34"/>
    <w:link w:val="4"/>
    <w:autoRedefine/>
    <w:qFormat/>
    <w:uiPriority w:val="9"/>
    <w:rPr>
      <w:rFonts w:eastAsia="黑体"/>
      <w:b/>
      <w:bCs/>
      <w:kern w:val="44"/>
      <w:sz w:val="36"/>
      <w:szCs w:val="44"/>
      <w:lang w:val="zh-CN" w:eastAsia="zh-CN"/>
    </w:rPr>
  </w:style>
  <w:style w:type="character" w:customStyle="1" w:styleId="44">
    <w:name w:val="标题 2 Char"/>
    <w:basedOn w:val="34"/>
    <w:link w:val="5"/>
    <w:autoRedefine/>
    <w:qFormat/>
    <w:uiPriority w:val="9"/>
    <w:rPr>
      <w:rFonts w:ascii="方正黑体_GBK" w:eastAsia="方正黑体_GBK"/>
      <w:bCs/>
      <w:kern w:val="2"/>
      <w:sz w:val="30"/>
      <w:szCs w:val="30"/>
      <w:lang w:val="zh-CN"/>
    </w:rPr>
  </w:style>
  <w:style w:type="character" w:customStyle="1" w:styleId="45">
    <w:name w:val="标题 3 Char"/>
    <w:basedOn w:val="34"/>
    <w:link w:val="6"/>
    <w:qFormat/>
    <w:uiPriority w:val="9"/>
    <w:rPr>
      <w:rFonts w:ascii="方正黑体_GBK" w:hAnsi="黑体" w:eastAsia="方正黑体_GBK"/>
      <w:sz w:val="30"/>
      <w:szCs w:val="30"/>
    </w:rPr>
  </w:style>
  <w:style w:type="character" w:customStyle="1" w:styleId="46">
    <w:name w:val="标题 7 Char"/>
    <w:basedOn w:val="34"/>
    <w:link w:val="8"/>
    <w:autoRedefine/>
    <w:qFormat/>
    <w:uiPriority w:val="0"/>
    <w:rPr>
      <w:rFonts w:ascii="仿宋_GB2312" w:eastAsia="仿宋_GB2312"/>
      <w:bCs/>
      <w:kern w:val="2"/>
      <w:sz w:val="32"/>
      <w:szCs w:val="32"/>
    </w:rPr>
  </w:style>
  <w:style w:type="character" w:customStyle="1" w:styleId="47">
    <w:name w:val="标题 4 Char"/>
    <w:basedOn w:val="34"/>
    <w:link w:val="7"/>
    <w:autoRedefine/>
    <w:qFormat/>
    <w:uiPriority w:val="0"/>
    <w:rPr>
      <w:rFonts w:eastAsia="仿宋_GB2312"/>
      <w:bCs/>
      <w:color w:val="000000" w:themeColor="text1"/>
      <w:kern w:val="2"/>
      <w:sz w:val="32"/>
      <w:szCs w:val="32"/>
      <w14:textFill>
        <w14:solidFill>
          <w14:schemeClr w14:val="tx1"/>
        </w14:solidFill>
      </w14:textFill>
    </w:rPr>
  </w:style>
  <w:style w:type="character" w:customStyle="1" w:styleId="48">
    <w:name w:val="标题 5 Char"/>
    <w:basedOn w:val="34"/>
    <w:link w:val="9"/>
    <w:autoRedefine/>
    <w:qFormat/>
    <w:uiPriority w:val="9"/>
    <w:rPr>
      <w:rFonts w:asciiTheme="minorHAnsi" w:hAnsiTheme="minorHAnsi" w:eastAsiaTheme="minorEastAsia" w:cstheme="minorBidi"/>
      <w:b/>
      <w:bCs/>
      <w:kern w:val="2"/>
      <w:sz w:val="28"/>
      <w:szCs w:val="28"/>
    </w:rPr>
  </w:style>
  <w:style w:type="character" w:customStyle="1" w:styleId="49">
    <w:name w:val="标题 6 Char"/>
    <w:basedOn w:val="34"/>
    <w:link w:val="10"/>
    <w:autoRedefine/>
    <w:qFormat/>
    <w:uiPriority w:val="0"/>
    <w:rPr>
      <w:rFonts w:ascii="黑体" w:hAnsi="黑体" w:eastAsia="黑体"/>
      <w:b/>
      <w:sz w:val="32"/>
      <w:szCs w:val="32"/>
    </w:rPr>
  </w:style>
  <w:style w:type="character" w:customStyle="1" w:styleId="50">
    <w:name w:val="标题 8 Char"/>
    <w:basedOn w:val="34"/>
    <w:link w:val="11"/>
    <w:autoRedefine/>
    <w:qFormat/>
    <w:uiPriority w:val="0"/>
    <w:rPr>
      <w:rFonts w:ascii="方正黑体_GBK" w:eastAsia="方正黑体_GBK"/>
      <w:sz w:val="28"/>
      <w:szCs w:val="28"/>
      <w:lang w:val="zh-CN"/>
    </w:rPr>
  </w:style>
  <w:style w:type="character" w:customStyle="1" w:styleId="51">
    <w:name w:val="批注框文本 Char"/>
    <w:basedOn w:val="34"/>
    <w:link w:val="19"/>
    <w:autoRedefine/>
    <w:qFormat/>
    <w:uiPriority w:val="99"/>
    <w:rPr>
      <w:rFonts w:asciiTheme="minorHAnsi" w:hAnsiTheme="minorHAnsi" w:eastAsiaTheme="minorEastAsia" w:cstheme="minorBidi"/>
      <w:kern w:val="2"/>
      <w:sz w:val="18"/>
      <w:szCs w:val="18"/>
    </w:rPr>
  </w:style>
  <w:style w:type="character" w:customStyle="1" w:styleId="52">
    <w:name w:val="页脚 Char"/>
    <w:basedOn w:val="34"/>
    <w:link w:val="20"/>
    <w:autoRedefine/>
    <w:qFormat/>
    <w:uiPriority w:val="99"/>
    <w:rPr>
      <w:rFonts w:asciiTheme="minorHAnsi" w:hAnsiTheme="minorHAnsi" w:eastAsiaTheme="minorEastAsia" w:cstheme="minorBidi"/>
      <w:kern w:val="2"/>
      <w:sz w:val="18"/>
      <w:szCs w:val="18"/>
    </w:rPr>
  </w:style>
  <w:style w:type="character" w:customStyle="1" w:styleId="53">
    <w:name w:val="页眉 Char"/>
    <w:basedOn w:val="34"/>
    <w:link w:val="21"/>
    <w:autoRedefine/>
    <w:qFormat/>
    <w:uiPriority w:val="0"/>
    <w:rPr>
      <w:rFonts w:asciiTheme="minorHAnsi" w:hAnsiTheme="minorHAnsi" w:eastAsiaTheme="minorEastAsia" w:cstheme="minorBidi"/>
      <w:kern w:val="2"/>
      <w:sz w:val="18"/>
      <w:szCs w:val="18"/>
    </w:rPr>
  </w:style>
  <w:style w:type="character" w:customStyle="1" w:styleId="54">
    <w:name w:val="副标题 Char"/>
    <w:basedOn w:val="34"/>
    <w:link w:val="24"/>
    <w:autoRedefine/>
    <w:qFormat/>
    <w:uiPriority w:val="0"/>
    <w:rPr>
      <w:rFonts w:asciiTheme="majorHAnsi" w:hAnsiTheme="majorHAnsi" w:cstheme="majorBidi"/>
      <w:b/>
      <w:bCs/>
      <w:kern w:val="28"/>
      <w:sz w:val="32"/>
      <w:szCs w:val="32"/>
    </w:rPr>
  </w:style>
  <w:style w:type="character" w:customStyle="1" w:styleId="55">
    <w:name w:val="标题 Char"/>
    <w:basedOn w:val="34"/>
    <w:link w:val="30"/>
    <w:autoRedefine/>
    <w:qFormat/>
    <w:uiPriority w:val="10"/>
    <w:rPr>
      <w:rFonts w:ascii="等线 Light" w:hAnsi="等线 Light"/>
      <w:b/>
      <w:bCs/>
      <w:kern w:val="2"/>
      <w:sz w:val="32"/>
      <w:szCs w:val="32"/>
    </w:rPr>
  </w:style>
  <w:style w:type="paragraph" w:styleId="56">
    <w:name w:val="List Paragraph"/>
    <w:basedOn w:val="1"/>
    <w:autoRedefine/>
    <w:qFormat/>
    <w:uiPriority w:val="34"/>
    <w:pPr>
      <w:ind w:firstLine="420"/>
    </w:pPr>
  </w:style>
  <w:style w:type="character" w:customStyle="1" w:styleId="57">
    <w:name w:val="表标题 Char"/>
    <w:link w:val="58"/>
    <w:autoRedefine/>
    <w:qFormat/>
    <w:uiPriority w:val="0"/>
    <w:rPr>
      <w:rFonts w:eastAsia="仿宋"/>
      <w:b/>
      <w:sz w:val="24"/>
    </w:rPr>
  </w:style>
  <w:style w:type="paragraph" w:customStyle="1" w:styleId="58">
    <w:name w:val="表标题"/>
    <w:basedOn w:val="1"/>
    <w:link w:val="57"/>
    <w:autoRedefine/>
    <w:qFormat/>
    <w:uiPriority w:val="0"/>
    <w:pPr>
      <w:widowControl/>
      <w:spacing w:line="440" w:lineRule="exact"/>
      <w:ind w:firstLine="0" w:firstLineChars="0"/>
      <w:jc w:val="center"/>
      <w:outlineLvl w:val="3"/>
    </w:pPr>
    <w:rPr>
      <w:b/>
      <w:kern w:val="0"/>
      <w:sz w:val="24"/>
      <w:szCs w:val="20"/>
    </w:rPr>
  </w:style>
  <w:style w:type="table" w:customStyle="1" w:styleId="59">
    <w:name w:val="网格型1"/>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1">
    <w:name w:val="Table Paragraph"/>
    <w:basedOn w:val="1"/>
    <w:autoRedefine/>
    <w:qFormat/>
    <w:uiPriority w:val="1"/>
    <w:pPr>
      <w:jc w:val="left"/>
    </w:pPr>
    <w:rPr>
      <w:kern w:val="0"/>
      <w:sz w:val="22"/>
      <w:szCs w:val="22"/>
      <w:lang w:eastAsia="en-US"/>
    </w:rPr>
  </w:style>
  <w:style w:type="paragraph" w:customStyle="1" w:styleId="62">
    <w:name w:val="TOC 标题1"/>
    <w:basedOn w:val="4"/>
    <w:next w:val="1"/>
    <w:autoRedefine/>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paragraph" w:customStyle="1" w:styleId="63">
    <w:name w:val="1章标题"/>
    <w:basedOn w:val="4"/>
    <w:autoRedefine/>
    <w:qFormat/>
    <w:uiPriority w:val="0"/>
    <w:pPr>
      <w:pageBreakBefore w:val="0"/>
      <w:spacing w:before="60" w:after="60" w:line="578" w:lineRule="exact"/>
    </w:pPr>
    <w:rPr>
      <w:rFonts w:ascii="方正小标宋_GBK" w:eastAsia="方正小标宋_GBK"/>
      <w:b w:val="0"/>
      <w:snapToGrid w:val="0"/>
      <w:szCs w:val="36"/>
      <w:lang w:val="en-US"/>
    </w:rPr>
  </w:style>
  <w:style w:type="paragraph" w:customStyle="1" w:styleId="64">
    <w:name w:val="修订1"/>
    <w:autoRedefine/>
    <w:hidden/>
    <w:unhideWhenUsed/>
    <w:qFormat/>
    <w:uiPriority w:val="99"/>
    <w:rPr>
      <w:rFonts w:eastAsia="仿宋" w:asciiTheme="minorHAnsi" w:hAnsiTheme="minorHAnsi" w:cstheme="minorBidi"/>
      <w:kern w:val="2"/>
      <w:sz w:val="28"/>
      <w:szCs w:val="24"/>
      <w:lang w:val="en-US" w:eastAsia="zh-CN" w:bidi="ar-SA"/>
    </w:rPr>
  </w:style>
  <w:style w:type="paragraph" w:customStyle="1" w:styleId="65">
    <w:name w:val="xl23"/>
    <w:basedOn w:val="1"/>
    <w:autoRedefine/>
    <w:qFormat/>
    <w:uiPriority w:val="0"/>
    <w:pPr>
      <w:widowControl/>
      <w:adjustRightInd/>
      <w:snapToGrid/>
      <w:spacing w:before="100" w:beforeAutospacing="1" w:after="100" w:afterAutospacing="1" w:line="500" w:lineRule="exact"/>
      <w:textAlignment w:val="top"/>
    </w:pPr>
    <w:rPr>
      <w:rFonts w:ascii="Arial Unicode MS" w:hAnsi="Arial Unicode MS" w:eastAsia="Arial Unicode MS" w:cs="Arial Unicode MS"/>
      <w:kern w:val="0"/>
      <w:sz w:val="18"/>
      <w:szCs w:val="18"/>
    </w:rPr>
  </w:style>
  <w:style w:type="paragraph" w:customStyle="1" w:styleId="66">
    <w:name w:val="TOC 标题2"/>
    <w:basedOn w:val="4"/>
    <w:next w:val="1"/>
    <w:autoRedefine/>
    <w:unhideWhenUsed/>
    <w:qFormat/>
    <w:uiPriority w:val="39"/>
    <w:pPr>
      <w:pageBreakBefore w:val="0"/>
      <w:widowControl/>
      <w:adjustRightInd/>
      <w:snapToGrid/>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67">
    <w:name w:val="规划正文"/>
    <w:basedOn w:val="1"/>
    <w:link w:val="68"/>
    <w:autoRedefine/>
    <w:qFormat/>
    <w:uiPriority w:val="0"/>
    <w:pPr>
      <w:widowControl/>
      <w:adjustRightInd/>
      <w:snapToGrid/>
      <w:spacing w:line="500" w:lineRule="exact"/>
    </w:pPr>
    <w:rPr>
      <w:rFonts w:eastAsia="仿宋" w:hAnsiTheme="minorHAnsi" w:cstheme="minorBidi"/>
      <w:spacing w:val="-4"/>
      <w:sz w:val="28"/>
      <w:szCs w:val="22"/>
    </w:rPr>
  </w:style>
  <w:style w:type="character" w:customStyle="1" w:styleId="68">
    <w:name w:val="规划正文 字符"/>
    <w:basedOn w:val="34"/>
    <w:link w:val="67"/>
    <w:autoRedefine/>
    <w:qFormat/>
    <w:uiPriority w:val="0"/>
    <w:rPr>
      <w:rFonts w:ascii="仿宋_GB2312" w:eastAsia="仿宋" w:hAnsiTheme="minorHAnsi" w:cstheme="minorBidi"/>
      <w:spacing w:val="-4"/>
      <w:kern w:val="2"/>
      <w:sz w:val="28"/>
      <w:szCs w:val="22"/>
    </w:rPr>
  </w:style>
  <w:style w:type="character" w:customStyle="1" w:styleId="69">
    <w:name w:val="font51"/>
    <w:basedOn w:val="34"/>
    <w:autoRedefine/>
    <w:qFormat/>
    <w:uiPriority w:val="0"/>
    <w:rPr>
      <w:rFonts w:hint="default" w:ascii="Times New Roman" w:hAnsi="Times New Roman" w:cs="Times New Roman"/>
      <w:color w:val="000000"/>
      <w:sz w:val="22"/>
      <w:szCs w:val="22"/>
      <w:u w:val="none"/>
    </w:rPr>
  </w:style>
  <w:style w:type="character" w:customStyle="1" w:styleId="70">
    <w:name w:val="font41"/>
    <w:basedOn w:val="34"/>
    <w:autoRedefine/>
    <w:qFormat/>
    <w:uiPriority w:val="0"/>
    <w:rPr>
      <w:rFonts w:hint="eastAsia" w:ascii="宋体" w:hAnsi="宋体" w:eastAsia="宋体" w:cs="宋体"/>
      <w:color w:val="000000"/>
      <w:sz w:val="22"/>
      <w:szCs w:val="22"/>
      <w:u w:val="none"/>
    </w:rPr>
  </w:style>
  <w:style w:type="character" w:customStyle="1" w:styleId="71">
    <w:name w:val="font11"/>
    <w:basedOn w:val="34"/>
    <w:autoRedefine/>
    <w:qFormat/>
    <w:uiPriority w:val="0"/>
    <w:rPr>
      <w:rFonts w:hint="default" w:ascii="Times New Roman" w:hAnsi="Times New Roman" w:cs="Times New Roman"/>
      <w:color w:val="000000"/>
      <w:sz w:val="22"/>
      <w:szCs w:val="22"/>
      <w:u w:val="none"/>
    </w:rPr>
  </w:style>
  <w:style w:type="character" w:customStyle="1" w:styleId="72">
    <w:name w:val="font61"/>
    <w:basedOn w:val="34"/>
    <w:autoRedefine/>
    <w:qFormat/>
    <w:uiPriority w:val="0"/>
    <w:rPr>
      <w:rFonts w:hint="eastAsia" w:ascii="宋体" w:hAnsi="宋体" w:eastAsia="宋体" w:cs="宋体"/>
      <w:color w:val="000000"/>
      <w:sz w:val="22"/>
      <w:szCs w:val="22"/>
      <w:u w:val="none"/>
    </w:rPr>
  </w:style>
  <w:style w:type="paragraph" w:customStyle="1" w:styleId="73">
    <w:name w:val="TOC 标题3"/>
    <w:basedOn w:val="4"/>
    <w:next w:val="1"/>
    <w:autoRedefine/>
    <w:semiHidden/>
    <w:unhideWhenUsed/>
    <w:qFormat/>
    <w:uiPriority w:val="39"/>
    <w:pPr>
      <w:pageBreakBefore w:val="0"/>
      <w:widowControl/>
      <w:adjustRightInd/>
      <w:snapToGrid/>
      <w:spacing w:before="48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paragraph" w:customStyle="1" w:styleId="74">
    <w:name w:val="font5"/>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5">
    <w:name w:val="font6"/>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76">
    <w:name w:val="font7"/>
    <w:basedOn w:val="1"/>
    <w:autoRedefine/>
    <w:qFormat/>
    <w:uiPriority w:val="0"/>
    <w:pPr>
      <w:widowControl/>
      <w:adjustRightInd/>
      <w:snapToGrid/>
      <w:spacing w:before="100" w:beforeAutospacing="1" w:after="100" w:afterAutospacing="1" w:line="240" w:lineRule="auto"/>
      <w:ind w:firstLine="0" w:firstLineChars="0"/>
      <w:jc w:val="left"/>
    </w:pPr>
    <w:rPr>
      <w:rFonts w:hAnsi="宋体" w:cs="宋体"/>
      <w:color w:val="000000"/>
      <w:kern w:val="0"/>
      <w:sz w:val="24"/>
      <w:szCs w:val="24"/>
    </w:rPr>
  </w:style>
  <w:style w:type="paragraph" w:customStyle="1" w:styleId="7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78">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79">
    <w:name w:val="xl67"/>
    <w:basedOn w:val="1"/>
    <w:autoRedefine/>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80">
    <w:name w:val="xl68"/>
    <w:basedOn w:val="1"/>
    <w:autoRedefine/>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81">
    <w:name w:val="xl69"/>
    <w:basedOn w:val="1"/>
    <w:autoRedefine/>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82">
    <w:name w:val="xl70"/>
    <w:basedOn w:val="1"/>
    <w:autoRedefine/>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83">
    <w:name w:val="xl71"/>
    <w:basedOn w:val="1"/>
    <w:autoRedefine/>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84">
    <w:name w:val="xl72"/>
    <w:basedOn w:val="1"/>
    <w:autoRedefine/>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85">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top"/>
    </w:pPr>
    <w:rPr>
      <w:rFonts w:hAnsi="宋体" w:cs="宋体"/>
      <w:color w:val="000000"/>
      <w:kern w:val="0"/>
      <w:sz w:val="24"/>
      <w:szCs w:val="24"/>
    </w:rPr>
  </w:style>
  <w:style w:type="paragraph" w:customStyle="1" w:styleId="86">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top"/>
    </w:pPr>
    <w:rPr>
      <w:rFonts w:eastAsia="宋体"/>
      <w:color w:val="000000"/>
      <w:kern w:val="0"/>
      <w:sz w:val="24"/>
      <w:szCs w:val="24"/>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top"/>
    </w:pPr>
    <w:rPr>
      <w:rFonts w:ascii="宋体" w:hAnsi="宋体" w:eastAsia="宋体" w:cs="宋体"/>
      <w:color w:val="000000"/>
      <w:kern w:val="0"/>
      <w:sz w:val="24"/>
      <w:szCs w:val="24"/>
    </w:rPr>
  </w:style>
  <w:style w:type="paragraph" w:customStyle="1" w:styleId="88">
    <w:name w:val="font8"/>
    <w:basedOn w:val="1"/>
    <w:autoRedefine/>
    <w:qFormat/>
    <w:uiPriority w:val="0"/>
    <w:pPr>
      <w:widowControl/>
      <w:adjustRightInd/>
      <w:snapToGrid/>
      <w:spacing w:before="100" w:beforeAutospacing="1" w:after="100" w:afterAutospacing="1" w:line="240" w:lineRule="auto"/>
      <w:ind w:firstLine="0" w:firstLineChars="0"/>
      <w:jc w:val="left"/>
    </w:pPr>
    <w:rPr>
      <w:rFonts w:eastAsia="宋体"/>
      <w:color w:val="000000"/>
      <w:kern w:val="0"/>
      <w:sz w:val="24"/>
      <w:szCs w:val="24"/>
    </w:rPr>
  </w:style>
  <w:style w:type="paragraph" w:customStyle="1" w:styleId="89">
    <w:name w:val="font9"/>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9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1">
    <w:name w:val="font10"/>
    <w:basedOn w:val="1"/>
    <w:autoRedefine/>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92">
    <w:name w:val="font12"/>
    <w:basedOn w:val="1"/>
    <w:autoRedefine/>
    <w:qFormat/>
    <w:uiPriority w:val="0"/>
    <w:pPr>
      <w:widowControl/>
      <w:adjustRightInd/>
      <w:snapToGrid/>
      <w:spacing w:before="100" w:beforeAutospacing="1" w:after="100" w:afterAutospacing="1" w:line="240" w:lineRule="auto"/>
      <w:ind w:firstLine="0" w:firstLineChars="0"/>
      <w:jc w:val="left"/>
    </w:pPr>
    <w:rPr>
      <w:rFonts w:hAnsi="宋体" w:cs="宋体"/>
      <w:kern w:val="0"/>
      <w:sz w:val="24"/>
      <w:szCs w:val="24"/>
    </w:rPr>
  </w:style>
  <w:style w:type="paragraph" w:customStyle="1" w:styleId="93">
    <w:name w:val="xl77"/>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94">
    <w:name w:val="xl78"/>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95">
    <w:name w:val="xl79"/>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left"/>
    </w:pPr>
    <w:rPr>
      <w:rFonts w:hAnsi="宋体" w:cs="宋体"/>
      <w:color w:val="000000"/>
      <w:kern w:val="0"/>
      <w:sz w:val="24"/>
      <w:szCs w:val="24"/>
    </w:rPr>
  </w:style>
  <w:style w:type="paragraph" w:customStyle="1" w:styleId="96">
    <w:name w:val="xl80"/>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7">
    <w:name w:val="xl81"/>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bottom"/>
    </w:pPr>
    <w:rPr>
      <w:rFonts w:eastAsia="宋体"/>
      <w:kern w:val="0"/>
      <w:sz w:val="24"/>
      <w:szCs w:val="24"/>
    </w:rPr>
  </w:style>
  <w:style w:type="paragraph" w:customStyle="1" w:styleId="9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9">
    <w:name w:val="xl83"/>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0">
    <w:name w:val="xl84"/>
    <w:basedOn w:val="1"/>
    <w:autoRedefine/>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101">
    <w:name w:val="xl85"/>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hAnsi="宋体" w:cs="宋体"/>
      <w:color w:val="000000"/>
      <w:kern w:val="0"/>
      <w:sz w:val="24"/>
      <w:szCs w:val="24"/>
    </w:rPr>
  </w:style>
  <w:style w:type="paragraph" w:customStyle="1" w:styleId="102">
    <w:name w:val="xl86"/>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103">
    <w:name w:val="xl87"/>
    <w:basedOn w:val="1"/>
    <w:autoRedefine/>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left"/>
    </w:pPr>
    <w:rPr>
      <w:rFonts w:hAnsi="宋体" w:cs="宋体"/>
      <w:color w:val="000000"/>
      <w:kern w:val="0"/>
      <w:sz w:val="24"/>
      <w:szCs w:val="24"/>
    </w:rPr>
  </w:style>
  <w:style w:type="paragraph" w:customStyle="1" w:styleId="10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5">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table" w:customStyle="1" w:styleId="106">
    <w:name w:val="网格型2"/>
    <w:basedOn w:val="32"/>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32"/>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4"/>
    <w:basedOn w:val="32"/>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xl63"/>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10">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11">
    <w:name w:val="修订2"/>
    <w:autoRedefine/>
    <w:hidden/>
    <w:semiHidden/>
    <w:qFormat/>
    <w:uiPriority w:val="99"/>
    <w:rPr>
      <w:rFonts w:ascii="Times New Roman" w:hAnsi="Times New Roman" w:eastAsia="仿宋_GB2312" w:cs="Times New Roman"/>
      <w:kern w:val="2"/>
      <w:sz w:val="32"/>
      <w:szCs w:val="32"/>
      <w:lang w:val="en-US" w:eastAsia="zh-CN" w:bidi="ar-SA"/>
    </w:rPr>
  </w:style>
  <w:style w:type="character" w:customStyle="1" w:styleId="112">
    <w:name w:val="批注文字 Char"/>
    <w:basedOn w:val="34"/>
    <w:link w:val="15"/>
    <w:autoRedefine/>
    <w:qFormat/>
    <w:uiPriority w:val="0"/>
    <w:rPr>
      <w:rFonts w:eastAsia="仿宋_GB2312"/>
      <w:kern w:val="2"/>
      <w:sz w:val="32"/>
      <w:szCs w:val="32"/>
    </w:rPr>
  </w:style>
  <w:style w:type="character" w:customStyle="1" w:styleId="113">
    <w:name w:val="批注主题 Char"/>
    <w:basedOn w:val="112"/>
    <w:link w:val="31"/>
    <w:autoRedefine/>
    <w:semiHidden/>
    <w:qFormat/>
    <w:uiPriority w:val="0"/>
    <w:rPr>
      <w:rFonts w:eastAsia="仿宋_GB2312"/>
      <w:b/>
      <w:bCs/>
      <w:kern w:val="2"/>
      <w:sz w:val="32"/>
      <w:szCs w:val="32"/>
    </w:rPr>
  </w:style>
  <w:style w:type="character" w:customStyle="1" w:styleId="114">
    <w:name w:val="尾注文本 Char"/>
    <w:basedOn w:val="34"/>
    <w:link w:val="18"/>
    <w:autoRedefine/>
    <w:semiHidden/>
    <w:qFormat/>
    <w:uiPriority w:val="0"/>
    <w:rPr>
      <w:rFonts w:eastAsia="仿宋_GB2312"/>
      <w:kern w:val="2"/>
      <w:sz w:val="32"/>
      <w:szCs w:val="32"/>
    </w:rPr>
  </w:style>
  <w:style w:type="paragraph" w:customStyle="1" w:styleId="115">
    <w:name w:val="封面"/>
    <w:basedOn w:val="1"/>
    <w:link w:val="116"/>
    <w:qFormat/>
    <w:uiPriority w:val="0"/>
    <w:pPr>
      <w:adjustRightInd/>
      <w:snapToGrid/>
      <w:spacing w:line="760" w:lineRule="exact"/>
      <w:ind w:firstLine="0" w:firstLineChars="0"/>
      <w:jc w:val="center"/>
    </w:pPr>
    <w:rPr>
      <w:rFonts w:ascii="宋体" w:hAnsi="宋体" w:eastAsia="方正小标宋_GBK"/>
      <w:sz w:val="44"/>
      <w:szCs w:val="44"/>
    </w:rPr>
  </w:style>
  <w:style w:type="character" w:customStyle="1" w:styleId="116">
    <w:name w:val="封面 字符"/>
    <w:basedOn w:val="34"/>
    <w:link w:val="115"/>
    <w:qFormat/>
    <w:uiPriority w:val="0"/>
    <w:rPr>
      <w:rFonts w:ascii="宋体" w:hAnsi="宋体" w:eastAsia="方正小标宋_GBK"/>
      <w:kern w:val="2"/>
      <w:sz w:val="44"/>
      <w:szCs w:val="44"/>
    </w:rPr>
  </w:style>
  <w:style w:type="paragraph" w:customStyle="1" w:styleId="117">
    <w:name w:val="封面2"/>
    <w:basedOn w:val="115"/>
    <w:link w:val="118"/>
    <w:qFormat/>
    <w:uiPriority w:val="0"/>
    <w:rPr>
      <w:sz w:val="32"/>
    </w:rPr>
  </w:style>
  <w:style w:type="character" w:customStyle="1" w:styleId="118">
    <w:name w:val="封面2 字符"/>
    <w:basedOn w:val="116"/>
    <w:link w:val="117"/>
    <w:qFormat/>
    <w:uiPriority w:val="0"/>
    <w:rPr>
      <w:rFonts w:ascii="宋体" w:hAnsi="宋体" w:eastAsia="方正小标宋_GBK"/>
      <w:kern w:val="2"/>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125</Pages>
  <Words>16738</Words>
  <Characters>17426</Characters>
  <Lines>1102</Lines>
  <Paragraphs>310</Paragraphs>
  <TotalTime>101</TotalTime>
  <ScaleCrop>false</ScaleCrop>
  <LinksUpToDate>false</LinksUpToDate>
  <CharactersWithSpaces>17577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2023-12-29T03:17:00Z</dcterms:created>
  <dc:creator>Fortune</dc:creator>
  <cp:lastModifiedBy>Administrator</cp:lastModifiedBy>
  <cp:lastPrinted>2024-12-09T04:41:00Z</cp:lastPrinted>
  <dcterms:modified xsi:type="dcterms:W3CDTF">2025-01-16T04:29:57Z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7125A5E3FFB6481C99D63F3B52FED51F_13</vt:lpwstr>
  </property>
  <property fmtid="{D5CDD505-2E9C-101B-9397-08002B2CF9AE}" pid="4" name="KSOTemplateDocerSaveRecord">
    <vt:lpwstr>eyJoZGlkIjoiNzVmODE1YjI3MmNkYmI3MjU1ZjFjMmVhNTM4Y2VlNjciLCJ1c2VySWQiOiIxNjM2OTMzNDkwIn0=</vt:lpwstr>
  </property>
</Properties>
</file>